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95C" w:rsidRPr="00AE295C" w:rsidRDefault="00AE295C" w:rsidP="00AE295C">
      <w:pPr>
        <w:widowControl/>
        <w:jc w:val="center"/>
        <w:rPr>
          <w:rFonts w:ascii="微软雅黑" w:eastAsia="微软雅黑" w:hAnsi="微软雅黑" w:cs="宋体"/>
          <w:color w:val="000000"/>
          <w:kern w:val="0"/>
          <w:sz w:val="18"/>
          <w:szCs w:val="18"/>
        </w:rPr>
      </w:pPr>
      <w:r w:rsidRPr="00AE295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E295C" w:rsidRPr="00AE295C" w:rsidTr="00AE295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E295C" w:rsidRPr="00AE295C">
              <w:trPr>
                <w:tblCellSpacing w:w="0" w:type="dxa"/>
              </w:trPr>
              <w:tc>
                <w:tcPr>
                  <w:tcW w:w="2500" w:type="pct"/>
                  <w:tcMar>
                    <w:top w:w="30" w:type="dxa"/>
                    <w:left w:w="30" w:type="dxa"/>
                    <w:bottom w:w="30" w:type="dxa"/>
                    <w:right w:w="30" w:type="dxa"/>
                  </w:tcMar>
                  <w:hideMark/>
                </w:tcPr>
                <w:p w:rsidR="00AE295C" w:rsidRPr="00AE295C" w:rsidRDefault="00AE295C" w:rsidP="00AE295C">
                  <w:pPr>
                    <w:widowControl/>
                    <w:jc w:val="left"/>
                    <w:rPr>
                      <w:rFonts w:ascii="宋体" w:eastAsia="宋体" w:hAnsi="宋体" w:cs="宋体" w:hint="eastAsia"/>
                      <w:color w:val="686868"/>
                      <w:kern w:val="0"/>
                      <w:sz w:val="18"/>
                      <w:szCs w:val="18"/>
                    </w:rPr>
                  </w:pPr>
                  <w:r w:rsidRPr="00AE295C">
                    <w:rPr>
                      <w:rFonts w:ascii="宋体" w:eastAsia="宋体" w:hAnsi="宋体" w:cs="宋体"/>
                      <w:b/>
                      <w:bCs/>
                      <w:color w:val="686868"/>
                      <w:kern w:val="0"/>
                      <w:sz w:val="18"/>
                      <w:szCs w:val="18"/>
                    </w:rPr>
                    <w:t>索 引 号:</w:t>
                  </w:r>
                  <w:r w:rsidRPr="00AE295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E295C" w:rsidRPr="00AE295C" w:rsidRDefault="00AE295C" w:rsidP="00AE295C">
                  <w:pPr>
                    <w:widowControl/>
                    <w:jc w:val="left"/>
                    <w:rPr>
                      <w:rFonts w:ascii="宋体" w:eastAsia="宋体" w:hAnsi="宋体" w:cs="宋体"/>
                      <w:color w:val="686868"/>
                      <w:kern w:val="0"/>
                      <w:sz w:val="18"/>
                      <w:szCs w:val="18"/>
                    </w:rPr>
                  </w:pPr>
                  <w:r w:rsidRPr="00AE295C">
                    <w:rPr>
                      <w:rFonts w:ascii="宋体" w:eastAsia="宋体" w:hAnsi="宋体" w:cs="宋体"/>
                      <w:b/>
                      <w:bCs/>
                      <w:color w:val="686868"/>
                      <w:kern w:val="0"/>
                      <w:sz w:val="18"/>
                      <w:szCs w:val="18"/>
                    </w:rPr>
                    <w:t>分类:</w:t>
                  </w:r>
                  <w:r w:rsidRPr="00AE295C">
                    <w:rPr>
                      <w:rFonts w:ascii="宋体" w:eastAsia="宋体" w:hAnsi="宋体" w:cs="宋体"/>
                      <w:color w:val="686868"/>
                      <w:kern w:val="0"/>
                      <w:sz w:val="18"/>
                      <w:szCs w:val="18"/>
                    </w:rPr>
                    <w:t> 行政处罚 ; 行政处罚决定</w:t>
                  </w:r>
                </w:p>
              </w:tc>
            </w:tr>
          </w:tbl>
          <w:p w:rsidR="00AE295C" w:rsidRPr="00AE295C" w:rsidRDefault="00AE295C" w:rsidP="00AE295C">
            <w:pPr>
              <w:widowControl/>
              <w:jc w:val="left"/>
              <w:rPr>
                <w:rFonts w:ascii="宋体" w:eastAsia="宋体" w:hAnsi="宋体" w:cs="宋体"/>
                <w:color w:val="686868"/>
                <w:kern w:val="0"/>
                <w:sz w:val="18"/>
                <w:szCs w:val="18"/>
              </w:rPr>
            </w:pPr>
          </w:p>
        </w:tc>
      </w:tr>
      <w:tr w:rsidR="00AE295C" w:rsidRPr="00AE295C" w:rsidTr="00AE295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E295C" w:rsidRPr="00AE295C">
              <w:trPr>
                <w:tblCellSpacing w:w="0" w:type="dxa"/>
              </w:trPr>
              <w:tc>
                <w:tcPr>
                  <w:tcW w:w="2500" w:type="pct"/>
                  <w:tcMar>
                    <w:top w:w="30" w:type="dxa"/>
                    <w:left w:w="30" w:type="dxa"/>
                    <w:bottom w:w="30" w:type="dxa"/>
                    <w:right w:w="30" w:type="dxa"/>
                  </w:tcMar>
                  <w:hideMark/>
                </w:tcPr>
                <w:p w:rsidR="00AE295C" w:rsidRPr="00AE295C" w:rsidRDefault="00AE295C" w:rsidP="00AE295C">
                  <w:pPr>
                    <w:widowControl/>
                    <w:jc w:val="left"/>
                    <w:rPr>
                      <w:rFonts w:ascii="宋体" w:eastAsia="宋体" w:hAnsi="宋体" w:cs="宋体"/>
                      <w:color w:val="686868"/>
                      <w:kern w:val="0"/>
                      <w:sz w:val="18"/>
                      <w:szCs w:val="18"/>
                    </w:rPr>
                  </w:pPr>
                  <w:r w:rsidRPr="00AE295C">
                    <w:rPr>
                      <w:rFonts w:ascii="宋体" w:eastAsia="宋体" w:hAnsi="宋体" w:cs="宋体"/>
                      <w:b/>
                      <w:bCs/>
                      <w:color w:val="686868"/>
                      <w:kern w:val="0"/>
                      <w:sz w:val="18"/>
                      <w:szCs w:val="18"/>
                    </w:rPr>
                    <w:t>发布机构:</w:t>
                  </w:r>
                  <w:r w:rsidRPr="00AE295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E295C" w:rsidRPr="00AE295C" w:rsidRDefault="00AE295C" w:rsidP="00AE295C">
                  <w:pPr>
                    <w:widowControl/>
                    <w:jc w:val="left"/>
                    <w:rPr>
                      <w:rFonts w:ascii="宋体" w:eastAsia="宋体" w:hAnsi="宋体" w:cs="宋体"/>
                      <w:color w:val="686868"/>
                      <w:kern w:val="0"/>
                      <w:sz w:val="18"/>
                      <w:szCs w:val="18"/>
                    </w:rPr>
                  </w:pPr>
                  <w:r w:rsidRPr="00AE295C">
                    <w:rPr>
                      <w:rFonts w:ascii="宋体" w:eastAsia="宋体" w:hAnsi="宋体" w:cs="宋体"/>
                      <w:b/>
                      <w:bCs/>
                      <w:color w:val="686868"/>
                      <w:kern w:val="0"/>
                      <w:sz w:val="18"/>
                      <w:szCs w:val="18"/>
                    </w:rPr>
                    <w:t>发文日期:</w:t>
                  </w:r>
                  <w:r w:rsidRPr="00AE295C">
                    <w:rPr>
                      <w:rFonts w:ascii="宋体" w:eastAsia="宋体" w:hAnsi="宋体" w:cs="宋体"/>
                      <w:color w:val="686868"/>
                      <w:kern w:val="0"/>
                      <w:sz w:val="18"/>
                      <w:szCs w:val="18"/>
                    </w:rPr>
                    <w:t> 2016年01月26日</w:t>
                  </w:r>
                </w:p>
              </w:tc>
            </w:tr>
          </w:tbl>
          <w:p w:rsidR="00AE295C" w:rsidRPr="00AE295C" w:rsidRDefault="00AE295C" w:rsidP="00AE295C">
            <w:pPr>
              <w:widowControl/>
              <w:jc w:val="left"/>
              <w:rPr>
                <w:rFonts w:ascii="宋体" w:eastAsia="宋体" w:hAnsi="宋体" w:cs="宋体"/>
                <w:color w:val="686868"/>
                <w:kern w:val="0"/>
                <w:sz w:val="18"/>
                <w:szCs w:val="18"/>
              </w:rPr>
            </w:pPr>
          </w:p>
        </w:tc>
      </w:tr>
      <w:tr w:rsidR="00AE295C" w:rsidRPr="00AE295C" w:rsidTr="00AE295C">
        <w:trPr>
          <w:tblCellSpacing w:w="0" w:type="dxa"/>
          <w:jc w:val="center"/>
        </w:trPr>
        <w:tc>
          <w:tcPr>
            <w:tcW w:w="0" w:type="auto"/>
            <w:tcMar>
              <w:top w:w="30" w:type="dxa"/>
              <w:left w:w="30" w:type="dxa"/>
              <w:bottom w:w="30" w:type="dxa"/>
              <w:right w:w="30" w:type="dxa"/>
            </w:tcMar>
            <w:hideMark/>
          </w:tcPr>
          <w:p w:rsidR="00AE295C" w:rsidRPr="00AE295C" w:rsidRDefault="00AE295C" w:rsidP="00AE295C">
            <w:pPr>
              <w:widowControl/>
              <w:jc w:val="left"/>
              <w:rPr>
                <w:rFonts w:ascii="宋体" w:eastAsia="宋体" w:hAnsi="宋体" w:cs="宋体"/>
                <w:color w:val="686868"/>
                <w:kern w:val="0"/>
                <w:sz w:val="18"/>
                <w:szCs w:val="18"/>
              </w:rPr>
            </w:pPr>
            <w:r w:rsidRPr="00AE295C">
              <w:rPr>
                <w:rFonts w:ascii="宋体" w:eastAsia="宋体" w:hAnsi="宋体" w:cs="宋体"/>
                <w:b/>
                <w:bCs/>
                <w:color w:val="686868"/>
                <w:kern w:val="0"/>
                <w:sz w:val="18"/>
                <w:szCs w:val="18"/>
              </w:rPr>
              <w:t>名　　称:</w:t>
            </w:r>
            <w:r w:rsidRPr="00AE295C">
              <w:rPr>
                <w:rFonts w:ascii="宋体" w:eastAsia="宋体" w:hAnsi="宋体" w:cs="宋体"/>
                <w:color w:val="686868"/>
                <w:kern w:val="0"/>
                <w:sz w:val="18"/>
                <w:szCs w:val="18"/>
              </w:rPr>
              <w:t> 中国证监会行政处罚决定书（张兆祯）</w:t>
            </w:r>
          </w:p>
        </w:tc>
      </w:tr>
      <w:tr w:rsidR="00AE295C" w:rsidRPr="00AE295C" w:rsidTr="00AE295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E295C" w:rsidRPr="00AE295C">
              <w:trPr>
                <w:tblCellSpacing w:w="0" w:type="dxa"/>
              </w:trPr>
              <w:tc>
                <w:tcPr>
                  <w:tcW w:w="2500" w:type="pct"/>
                  <w:tcMar>
                    <w:top w:w="30" w:type="dxa"/>
                    <w:left w:w="30" w:type="dxa"/>
                    <w:bottom w:w="30" w:type="dxa"/>
                    <w:right w:w="30" w:type="dxa"/>
                  </w:tcMar>
                  <w:hideMark/>
                </w:tcPr>
                <w:p w:rsidR="00AE295C" w:rsidRPr="00AE295C" w:rsidRDefault="00AE295C" w:rsidP="00AE295C">
                  <w:pPr>
                    <w:widowControl/>
                    <w:jc w:val="left"/>
                    <w:rPr>
                      <w:rFonts w:ascii="宋体" w:eastAsia="宋体" w:hAnsi="宋体" w:cs="宋体"/>
                      <w:color w:val="686868"/>
                      <w:kern w:val="0"/>
                      <w:sz w:val="18"/>
                      <w:szCs w:val="18"/>
                    </w:rPr>
                  </w:pPr>
                  <w:r w:rsidRPr="00AE295C">
                    <w:rPr>
                      <w:rFonts w:ascii="宋体" w:eastAsia="宋体" w:hAnsi="宋体" w:cs="宋体"/>
                      <w:b/>
                      <w:bCs/>
                      <w:color w:val="686868"/>
                      <w:kern w:val="0"/>
                      <w:sz w:val="18"/>
                      <w:szCs w:val="18"/>
                    </w:rPr>
                    <w:t>文　　号:</w:t>
                  </w:r>
                  <w:r w:rsidRPr="00AE295C">
                    <w:rPr>
                      <w:rFonts w:ascii="宋体" w:eastAsia="宋体" w:hAnsi="宋体" w:cs="宋体"/>
                      <w:color w:val="686868"/>
                      <w:kern w:val="0"/>
                      <w:sz w:val="18"/>
                      <w:szCs w:val="18"/>
                    </w:rPr>
                    <w:t> </w:t>
                  </w:r>
                  <w:bookmarkStart w:id="0" w:name="_GoBack"/>
                  <w:r w:rsidRPr="00AE295C">
                    <w:rPr>
                      <w:rFonts w:ascii="宋体" w:eastAsia="宋体" w:hAnsi="宋体" w:cs="宋体"/>
                      <w:color w:val="686868"/>
                      <w:kern w:val="0"/>
                      <w:sz w:val="18"/>
                      <w:szCs w:val="18"/>
                    </w:rPr>
                    <w:t>〔2016〕17号</w:t>
                  </w:r>
                  <w:bookmarkEnd w:id="0"/>
                </w:p>
              </w:tc>
              <w:tc>
                <w:tcPr>
                  <w:tcW w:w="0" w:type="auto"/>
                  <w:tcMar>
                    <w:top w:w="30" w:type="dxa"/>
                    <w:left w:w="30" w:type="dxa"/>
                    <w:bottom w:w="30" w:type="dxa"/>
                    <w:right w:w="30" w:type="dxa"/>
                  </w:tcMar>
                  <w:hideMark/>
                </w:tcPr>
                <w:p w:rsidR="00AE295C" w:rsidRPr="00AE295C" w:rsidRDefault="00AE295C" w:rsidP="00AE295C">
                  <w:pPr>
                    <w:widowControl/>
                    <w:jc w:val="left"/>
                    <w:rPr>
                      <w:rFonts w:ascii="宋体" w:eastAsia="宋体" w:hAnsi="宋体" w:cs="宋体"/>
                      <w:color w:val="686868"/>
                      <w:kern w:val="0"/>
                      <w:sz w:val="18"/>
                      <w:szCs w:val="18"/>
                    </w:rPr>
                  </w:pPr>
                  <w:r w:rsidRPr="00AE295C">
                    <w:rPr>
                      <w:rFonts w:ascii="宋体" w:eastAsia="宋体" w:hAnsi="宋体" w:cs="宋体"/>
                      <w:b/>
                      <w:bCs/>
                      <w:color w:val="686868"/>
                      <w:kern w:val="0"/>
                      <w:sz w:val="18"/>
                      <w:szCs w:val="18"/>
                    </w:rPr>
                    <w:t>主 题 词:</w:t>
                  </w:r>
                </w:p>
              </w:tc>
            </w:tr>
          </w:tbl>
          <w:p w:rsidR="00AE295C" w:rsidRPr="00AE295C" w:rsidRDefault="00AE295C" w:rsidP="00AE295C">
            <w:pPr>
              <w:widowControl/>
              <w:jc w:val="left"/>
              <w:rPr>
                <w:rFonts w:ascii="宋体" w:eastAsia="宋体" w:hAnsi="宋体" w:cs="宋体"/>
                <w:color w:val="686868"/>
                <w:kern w:val="0"/>
                <w:sz w:val="18"/>
                <w:szCs w:val="18"/>
              </w:rPr>
            </w:pPr>
          </w:p>
        </w:tc>
      </w:tr>
    </w:tbl>
    <w:p w:rsidR="00AE295C" w:rsidRPr="00AE295C" w:rsidRDefault="00AE295C" w:rsidP="00AE295C">
      <w:pPr>
        <w:widowControl/>
        <w:jc w:val="center"/>
        <w:rPr>
          <w:rFonts w:ascii="微软雅黑" w:eastAsia="微软雅黑" w:hAnsi="微软雅黑" w:cs="宋体"/>
          <w:color w:val="000000"/>
          <w:kern w:val="0"/>
          <w:sz w:val="18"/>
          <w:szCs w:val="18"/>
        </w:rPr>
      </w:pPr>
      <w:r w:rsidRPr="00AE295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E295C" w:rsidRPr="00AE295C" w:rsidRDefault="00AE295C" w:rsidP="00AE295C">
      <w:pPr>
        <w:widowControl/>
        <w:shd w:val="clear" w:color="auto" w:fill="FFFFFF"/>
        <w:spacing w:after="240"/>
        <w:jc w:val="center"/>
        <w:rPr>
          <w:rFonts w:ascii="微软雅黑" w:eastAsia="微软雅黑" w:hAnsi="微软雅黑" w:cs="宋体" w:hint="eastAsia"/>
          <w:color w:val="000000"/>
          <w:kern w:val="0"/>
          <w:sz w:val="18"/>
          <w:szCs w:val="18"/>
        </w:rPr>
      </w:pPr>
      <w:r w:rsidRPr="00AE295C">
        <w:rPr>
          <w:rFonts w:ascii="微软雅黑" w:eastAsia="微软雅黑" w:hAnsi="微软雅黑" w:cs="宋体" w:hint="eastAsia"/>
          <w:color w:val="000000"/>
          <w:kern w:val="0"/>
          <w:sz w:val="18"/>
          <w:szCs w:val="18"/>
        </w:rPr>
        <w:br/>
      </w:r>
      <w:r w:rsidRPr="00AE295C">
        <w:rPr>
          <w:rFonts w:ascii="黑体" w:eastAsia="黑体" w:hAnsi="黑体" w:cs="宋体" w:hint="eastAsia"/>
          <w:b/>
          <w:bCs/>
          <w:color w:val="FF0000"/>
          <w:kern w:val="0"/>
          <w:sz w:val="36"/>
          <w:szCs w:val="36"/>
        </w:rPr>
        <w:t>中国证监会行政处罚决定书（张兆祯）</w:t>
      </w:r>
    </w:p>
    <w:p w:rsidR="00AE295C" w:rsidRPr="00AE295C" w:rsidRDefault="00AE295C" w:rsidP="00AE295C">
      <w:pPr>
        <w:widowControl/>
        <w:shd w:val="clear" w:color="auto" w:fill="FFFFFF"/>
        <w:spacing w:line="360" w:lineRule="atLeast"/>
        <w:jc w:val="center"/>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〔2016〕17号</w:t>
      </w:r>
    </w:p>
    <w:p w:rsidR="00AE295C" w:rsidRPr="00AE295C" w:rsidRDefault="00AE295C" w:rsidP="00AE295C">
      <w:pPr>
        <w:widowControl/>
        <w:shd w:val="clear" w:color="auto" w:fill="FFFFFF"/>
        <w:spacing w:line="360" w:lineRule="atLeast"/>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 </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当事人：张兆祯，男，1965年10月出生，住址：甘肃省兰州市城关区。</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依据《中华人民共和国证券法》（以下简称《证券法》）的有关规定，我会依法对张兆祯内幕交易行为进行了立案调查、审理，并向当事人告知了</w:t>
      </w:r>
      <w:proofErr w:type="gramStart"/>
      <w:r w:rsidRPr="00AE295C">
        <w:rPr>
          <w:rFonts w:ascii="宋体" w:eastAsia="宋体" w:hAnsi="宋体" w:cs="宋体" w:hint="eastAsia"/>
          <w:color w:val="000000"/>
          <w:kern w:val="0"/>
          <w:szCs w:val="21"/>
        </w:rPr>
        <w:t>作出</w:t>
      </w:r>
      <w:proofErr w:type="gramEnd"/>
      <w:r w:rsidRPr="00AE295C">
        <w:rPr>
          <w:rFonts w:ascii="宋体" w:eastAsia="宋体" w:hAnsi="宋体" w:cs="宋体" w:hint="eastAsia"/>
          <w:color w:val="000000"/>
          <w:kern w:val="0"/>
          <w:szCs w:val="21"/>
        </w:rPr>
        <w:t>行政处罚的事实、理由、依据及当事人依法享有的权利。当事人未提交陈述、申辩意见，也未要求听证。本案现已调查、审理终结。</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经查明，当事人张兆祯存在以下违法事实：</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一、内幕信息的形成和公开过程</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2012年12月26日，海南亚太实业发展股份有限公司（以下简称亚太实业）控股股东兰州亚太工贸集团有限公司（以下简称兰州亚太）启动了亚太实业的定向增发工作。</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为实现上市公司转型，2014年1月31日至2月13日，亚太实业实际控制人确定亚太实业收购兰州伟慈制药有限责任公司（以下</w:t>
      </w:r>
      <w:proofErr w:type="gramStart"/>
      <w:r w:rsidRPr="00AE295C">
        <w:rPr>
          <w:rFonts w:ascii="宋体" w:eastAsia="宋体" w:hAnsi="宋体" w:cs="宋体" w:hint="eastAsia"/>
          <w:color w:val="000000"/>
          <w:kern w:val="0"/>
          <w:szCs w:val="21"/>
        </w:rPr>
        <w:t>简称伟慈制药</w:t>
      </w:r>
      <w:proofErr w:type="gramEnd"/>
      <w:r w:rsidRPr="00AE295C">
        <w:rPr>
          <w:rFonts w:ascii="宋体" w:eastAsia="宋体" w:hAnsi="宋体" w:cs="宋体" w:hint="eastAsia"/>
          <w:color w:val="000000"/>
          <w:kern w:val="0"/>
          <w:szCs w:val="21"/>
        </w:rPr>
        <w:t>），同时进行再融资，实施凝血酶和中成药项目。</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2014年2月13日上午9点，亚太实业召开年度工作会议讨论亚太实业重组事宜。会议确定争取在2月底前签约</w:t>
      </w:r>
      <w:proofErr w:type="gramStart"/>
      <w:r w:rsidRPr="00AE295C">
        <w:rPr>
          <w:rFonts w:ascii="宋体" w:eastAsia="宋体" w:hAnsi="宋体" w:cs="宋体" w:hint="eastAsia"/>
          <w:color w:val="000000"/>
          <w:kern w:val="0"/>
          <w:szCs w:val="21"/>
        </w:rPr>
        <w:t>收购伟慈制药</w:t>
      </w:r>
      <w:proofErr w:type="gramEnd"/>
      <w:r w:rsidRPr="00AE295C">
        <w:rPr>
          <w:rFonts w:ascii="宋体" w:eastAsia="宋体" w:hAnsi="宋体" w:cs="宋体" w:hint="eastAsia"/>
          <w:color w:val="000000"/>
          <w:kern w:val="0"/>
          <w:szCs w:val="21"/>
        </w:rPr>
        <w:t>，6月底完成在证监会的报备，确保重组100%成功。</w:t>
      </w:r>
      <w:proofErr w:type="gramStart"/>
      <w:r w:rsidRPr="00AE295C">
        <w:rPr>
          <w:rFonts w:ascii="宋体" w:eastAsia="宋体" w:hAnsi="宋体" w:cs="宋体" w:hint="eastAsia"/>
          <w:color w:val="000000"/>
          <w:kern w:val="0"/>
          <w:szCs w:val="21"/>
        </w:rPr>
        <w:t>贾某林参加</w:t>
      </w:r>
      <w:proofErr w:type="gramEnd"/>
      <w:r w:rsidRPr="00AE295C">
        <w:rPr>
          <w:rFonts w:ascii="宋体" w:eastAsia="宋体" w:hAnsi="宋体" w:cs="宋体" w:hint="eastAsia"/>
          <w:color w:val="000000"/>
          <w:kern w:val="0"/>
          <w:szCs w:val="21"/>
        </w:rPr>
        <w:t>了此次会议。</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2014年2月14日,亚太实业与贾某林等15人签署保密协议。</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2014年3月14日，亚太实业股价发生较大波动。当日收盘后，亚太实业申请公司股票停牌。3月15日，亚太实业发布重大事项停牌公告。</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2014年4月3日，亚太实业召开董事会会议，决定亚太实业拟向兰州</w:t>
      </w:r>
      <w:proofErr w:type="gramStart"/>
      <w:r w:rsidRPr="00AE295C">
        <w:rPr>
          <w:rFonts w:ascii="宋体" w:eastAsia="宋体" w:hAnsi="宋体" w:cs="宋体" w:hint="eastAsia"/>
          <w:color w:val="000000"/>
          <w:kern w:val="0"/>
          <w:szCs w:val="21"/>
        </w:rPr>
        <w:t>亚太非</w:t>
      </w:r>
      <w:proofErr w:type="gramEnd"/>
      <w:r w:rsidRPr="00AE295C">
        <w:rPr>
          <w:rFonts w:ascii="宋体" w:eastAsia="宋体" w:hAnsi="宋体" w:cs="宋体" w:hint="eastAsia"/>
          <w:color w:val="000000"/>
          <w:kern w:val="0"/>
          <w:szCs w:val="21"/>
        </w:rPr>
        <w:t>公开发行1.5亿股，募集资金总额不超过67,500万元，用于</w:t>
      </w:r>
      <w:proofErr w:type="gramStart"/>
      <w:r w:rsidRPr="00AE295C">
        <w:rPr>
          <w:rFonts w:ascii="宋体" w:eastAsia="宋体" w:hAnsi="宋体" w:cs="宋体" w:hint="eastAsia"/>
          <w:color w:val="000000"/>
          <w:kern w:val="0"/>
          <w:szCs w:val="21"/>
        </w:rPr>
        <w:t>收购伟慈制药</w:t>
      </w:r>
      <w:proofErr w:type="gramEnd"/>
      <w:r w:rsidRPr="00AE295C">
        <w:rPr>
          <w:rFonts w:ascii="宋体" w:eastAsia="宋体" w:hAnsi="宋体" w:cs="宋体" w:hint="eastAsia"/>
          <w:color w:val="000000"/>
          <w:kern w:val="0"/>
          <w:szCs w:val="21"/>
        </w:rPr>
        <w:t>100%股权，</w:t>
      </w:r>
      <w:proofErr w:type="gramStart"/>
      <w:r w:rsidRPr="00AE295C">
        <w:rPr>
          <w:rFonts w:ascii="宋体" w:eastAsia="宋体" w:hAnsi="宋体" w:cs="宋体" w:hint="eastAsia"/>
          <w:color w:val="000000"/>
          <w:kern w:val="0"/>
          <w:szCs w:val="21"/>
        </w:rPr>
        <w:t>对伟慈制药</w:t>
      </w:r>
      <w:proofErr w:type="gramEnd"/>
      <w:r w:rsidRPr="00AE295C">
        <w:rPr>
          <w:rFonts w:ascii="宋体" w:eastAsia="宋体" w:hAnsi="宋体" w:cs="宋体" w:hint="eastAsia"/>
          <w:color w:val="000000"/>
          <w:kern w:val="0"/>
          <w:szCs w:val="21"/>
        </w:rPr>
        <w:t>投资建设凝血酶、中成药项目及补充公司流动资金。4月8日，亚太实业股票复牌。</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亚太实业拟向兰州亚太发行股份属于《证券法》第七十五条第二款第（三）项规定的“公司股权结构的重大变化”，</w:t>
      </w:r>
      <w:proofErr w:type="gramStart"/>
      <w:r w:rsidRPr="00AE295C">
        <w:rPr>
          <w:rFonts w:ascii="宋体" w:eastAsia="宋体" w:hAnsi="宋体" w:cs="宋体" w:hint="eastAsia"/>
          <w:color w:val="000000"/>
          <w:kern w:val="0"/>
          <w:szCs w:val="21"/>
        </w:rPr>
        <w:t>收购伟慈制药</w:t>
      </w:r>
      <w:proofErr w:type="gramEnd"/>
      <w:r w:rsidRPr="00AE295C">
        <w:rPr>
          <w:rFonts w:ascii="宋体" w:eastAsia="宋体" w:hAnsi="宋体" w:cs="宋体" w:hint="eastAsia"/>
          <w:color w:val="000000"/>
          <w:kern w:val="0"/>
          <w:szCs w:val="21"/>
        </w:rPr>
        <w:t>100%股权并</w:t>
      </w:r>
      <w:proofErr w:type="gramStart"/>
      <w:r w:rsidRPr="00AE295C">
        <w:rPr>
          <w:rFonts w:ascii="宋体" w:eastAsia="宋体" w:hAnsi="宋体" w:cs="宋体" w:hint="eastAsia"/>
          <w:color w:val="000000"/>
          <w:kern w:val="0"/>
          <w:szCs w:val="21"/>
        </w:rPr>
        <w:t>对伟慈制药</w:t>
      </w:r>
      <w:proofErr w:type="gramEnd"/>
      <w:r w:rsidRPr="00AE295C">
        <w:rPr>
          <w:rFonts w:ascii="宋体" w:eastAsia="宋体" w:hAnsi="宋体" w:cs="宋体" w:hint="eastAsia"/>
          <w:color w:val="000000"/>
          <w:kern w:val="0"/>
          <w:szCs w:val="21"/>
        </w:rPr>
        <w:t>投资建设凝血酶、中成药项目及补充公司流动资金属于《证券法》第六十七条第二款第（二）项规定的“公司</w:t>
      </w:r>
      <w:r w:rsidRPr="00AE295C">
        <w:rPr>
          <w:rFonts w:ascii="宋体" w:eastAsia="宋体" w:hAnsi="宋体" w:cs="宋体" w:hint="eastAsia"/>
          <w:color w:val="000000"/>
          <w:kern w:val="0"/>
          <w:szCs w:val="21"/>
        </w:rPr>
        <w:lastRenderedPageBreak/>
        <w:t>的重大投资行为和重大的购置财产的决定”,上述信息为内幕信息。内幕信息形成时点不晚于2014年2月13日，公开于2014年3月15日。贾某林实际负责公司的定向增发和收购工作，为内幕信息知情人。</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二、张兆祯知悉内幕信息的情况</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张兆祯朋友周某鹏与贾某林</w:t>
      </w:r>
      <w:proofErr w:type="gramStart"/>
      <w:r w:rsidRPr="00AE295C">
        <w:rPr>
          <w:rFonts w:ascii="宋体" w:eastAsia="宋体" w:hAnsi="宋体" w:cs="宋体" w:hint="eastAsia"/>
          <w:color w:val="000000"/>
          <w:kern w:val="0"/>
          <w:szCs w:val="21"/>
        </w:rPr>
        <w:t>系朋友</w:t>
      </w:r>
      <w:proofErr w:type="gramEnd"/>
      <w:r w:rsidRPr="00AE295C">
        <w:rPr>
          <w:rFonts w:ascii="宋体" w:eastAsia="宋体" w:hAnsi="宋体" w:cs="宋体" w:hint="eastAsia"/>
          <w:color w:val="000000"/>
          <w:kern w:val="0"/>
          <w:szCs w:val="21"/>
        </w:rPr>
        <w:t>关系。周某鹏自贾某林处获知内幕信息后，于2014年2月的一次聚餐中告知张兆祯等人亚太实业有利好消息,让他们关注，还提到了老贾（即贾某林）。</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三、张兆祯内幕交易的情况</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（一）“张兆祯”账户交易情况</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“张兆祯”账户自2014年2月17日起开始买入“亚太实业”，在内幕信息公开前，累计买入208,500股，成交金额1,028,097元，总计盈利100,826.49元。</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（二）“张兆祯”账户交易异常</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内幕信息公开前，“张兆祯”账户交易“亚太实业”股票存在以下异常，且无合理解释。</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其一，“张兆祯”账户在2013年从未交易过“亚太实业”。在内幕信息形成后至公开前，张兆祯仅买入“亚太实业”单支股票。</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其二，集中资金买入“亚太实业”。2014年2月17日，“张兆祯”账户卖出“广田股份”9,700股，成交金额172,478元。2014年2月17日至3月3日，张兆祯及其妻子转入张兆祯三方存管银行账户共计44万元。以上资金用以购买“亚太实业”。 </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其三，向他人借用40万元资金用以买入“亚太实业”。</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以上违法事实，有相关人员询问笔录、通讯记录、账户交易流水、银行账户资金流水、证券交易所统计数据等证据证明，足以认定。</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我会认为，张兆祯在内幕信息公开前交易“亚太实业”的行为，违反了《证券法》第七十三条、第七十六条第一款的规定，构成《证券法》第二百零二条所述内幕交易行为。</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根据当事人违法行为的事实、性质、情节与社会危害程度，依据《证券法》第二百零二条的规定，我会决定：没收张兆祯违法所得100,826.49元，并处以100,826.49元罚款。</w:t>
      </w:r>
    </w:p>
    <w:p w:rsidR="00AE295C" w:rsidRPr="00AE295C" w:rsidRDefault="00AE295C" w:rsidP="00AE295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E295C" w:rsidRPr="00AE295C" w:rsidRDefault="00AE295C" w:rsidP="00AE295C">
      <w:pPr>
        <w:widowControl/>
        <w:shd w:val="clear" w:color="auto" w:fill="FFFFFF"/>
        <w:spacing w:line="360" w:lineRule="atLeast"/>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 </w:t>
      </w:r>
    </w:p>
    <w:p w:rsidR="00AE295C" w:rsidRPr="00AE295C" w:rsidRDefault="00AE295C" w:rsidP="00AE295C">
      <w:pPr>
        <w:widowControl/>
        <w:shd w:val="clear" w:color="auto" w:fill="FFFFFF"/>
        <w:spacing w:line="360" w:lineRule="atLeast"/>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 </w:t>
      </w:r>
    </w:p>
    <w:p w:rsidR="00AE295C" w:rsidRPr="00AE295C" w:rsidRDefault="00AE295C" w:rsidP="00AE295C">
      <w:pPr>
        <w:widowControl/>
        <w:shd w:val="clear" w:color="auto" w:fill="FFFFFF"/>
        <w:spacing w:line="360" w:lineRule="atLeast"/>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 </w:t>
      </w:r>
    </w:p>
    <w:p w:rsidR="00AE295C" w:rsidRPr="00AE295C" w:rsidRDefault="00AE295C" w:rsidP="00AE295C">
      <w:pPr>
        <w:widowControl/>
        <w:shd w:val="clear" w:color="auto" w:fill="FFFFFF"/>
        <w:spacing w:line="360" w:lineRule="atLeast"/>
        <w:jc w:val="lef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 </w:t>
      </w:r>
    </w:p>
    <w:p w:rsidR="00AE295C" w:rsidRPr="00AE295C" w:rsidRDefault="00AE295C" w:rsidP="00AE295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t>中国证监会</w:t>
      </w:r>
      <w:proofErr w:type="gramStart"/>
      <w:r w:rsidRPr="00AE295C">
        <w:rPr>
          <w:rFonts w:ascii="宋体" w:eastAsia="宋体" w:hAnsi="宋体" w:cs="宋体" w:hint="eastAsia"/>
          <w:color w:val="000000"/>
          <w:kern w:val="0"/>
          <w:szCs w:val="21"/>
        </w:rPr>
        <w:t xml:space="preserve">　　　　　</w:t>
      </w:r>
      <w:proofErr w:type="gramEnd"/>
      <w:r w:rsidRPr="00AE295C">
        <w:rPr>
          <w:rFonts w:ascii="宋体" w:eastAsia="宋体" w:hAnsi="宋体" w:cs="宋体" w:hint="eastAsia"/>
          <w:color w:val="000000"/>
          <w:kern w:val="0"/>
          <w:szCs w:val="21"/>
        </w:rPr>
        <w:t> </w:t>
      </w:r>
    </w:p>
    <w:p w:rsidR="00AE295C" w:rsidRPr="00AE295C" w:rsidRDefault="00AE295C" w:rsidP="00AE295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E295C">
        <w:rPr>
          <w:rFonts w:ascii="宋体" w:eastAsia="宋体" w:hAnsi="宋体" w:cs="宋体" w:hint="eastAsia"/>
          <w:color w:val="000000"/>
          <w:kern w:val="0"/>
          <w:szCs w:val="21"/>
        </w:rPr>
        <w:lastRenderedPageBreak/>
        <w:t xml:space="preserve">2016年1月26日　　</w:t>
      </w:r>
      <w:proofErr w:type="gramStart"/>
      <w:r w:rsidRPr="00AE295C">
        <w:rPr>
          <w:rFonts w:ascii="宋体" w:eastAsia="宋体" w:hAnsi="宋体" w:cs="宋体" w:hint="eastAsia"/>
          <w:color w:val="000000"/>
          <w:kern w:val="0"/>
          <w:szCs w:val="21"/>
        </w:rPr>
        <w:t xml:space="preserve">　　</w:t>
      </w:r>
      <w:proofErr w:type="gramEnd"/>
    </w:p>
    <w:p w:rsidR="00AE295C" w:rsidRPr="00AE295C" w:rsidRDefault="00AE295C" w:rsidP="00AE295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E295C" w:rsidRPr="00AE295C" w:rsidTr="00AE295C">
        <w:trPr>
          <w:tblCellSpacing w:w="15" w:type="dxa"/>
          <w:jc w:val="center"/>
        </w:trPr>
        <w:tc>
          <w:tcPr>
            <w:tcW w:w="900" w:type="dxa"/>
            <w:vAlign w:val="center"/>
            <w:hideMark/>
          </w:tcPr>
          <w:p w:rsidR="00AE295C" w:rsidRPr="00AE295C" w:rsidRDefault="00AE295C" w:rsidP="00AE295C">
            <w:pPr>
              <w:widowControl/>
              <w:jc w:val="left"/>
              <w:rPr>
                <w:rFonts w:ascii="宋体" w:eastAsia="宋体" w:hAnsi="宋体" w:cs="宋体" w:hint="eastAsia"/>
                <w:kern w:val="0"/>
                <w:sz w:val="18"/>
                <w:szCs w:val="18"/>
              </w:rPr>
            </w:pPr>
            <w:r w:rsidRPr="00AE295C">
              <w:rPr>
                <w:rFonts w:ascii="宋体" w:eastAsia="宋体" w:hAnsi="宋体" w:cs="宋体"/>
                <w:kern w:val="0"/>
                <w:sz w:val="18"/>
                <w:szCs w:val="18"/>
              </w:rPr>
              <w:t> </w:t>
            </w:r>
          </w:p>
        </w:tc>
        <w:tc>
          <w:tcPr>
            <w:tcW w:w="1200" w:type="dxa"/>
            <w:vAlign w:val="center"/>
            <w:hideMark/>
          </w:tcPr>
          <w:p w:rsidR="00AE295C" w:rsidRPr="00AE295C" w:rsidRDefault="00AE295C" w:rsidP="00AE295C">
            <w:pPr>
              <w:widowControl/>
              <w:jc w:val="left"/>
              <w:rPr>
                <w:rFonts w:ascii="宋体" w:eastAsia="宋体" w:hAnsi="宋体" w:cs="宋体"/>
                <w:kern w:val="0"/>
                <w:sz w:val="18"/>
                <w:szCs w:val="18"/>
              </w:rPr>
            </w:pPr>
            <w:r w:rsidRPr="00AE295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E295C" w:rsidRPr="00AE295C" w:rsidRDefault="00AE295C" w:rsidP="00AE295C">
            <w:pPr>
              <w:widowControl/>
              <w:jc w:val="left"/>
              <w:rPr>
                <w:rFonts w:ascii="宋体" w:eastAsia="宋体" w:hAnsi="宋体" w:cs="宋体"/>
                <w:kern w:val="0"/>
                <w:sz w:val="18"/>
                <w:szCs w:val="18"/>
              </w:rPr>
            </w:pPr>
            <w:r w:rsidRPr="00AE295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E295C" w:rsidRPr="00AE295C" w:rsidRDefault="00AE295C" w:rsidP="00AE295C">
            <w:pPr>
              <w:widowControl/>
              <w:jc w:val="left"/>
              <w:rPr>
                <w:rFonts w:ascii="宋体" w:eastAsia="宋体" w:hAnsi="宋体" w:cs="宋体"/>
                <w:kern w:val="0"/>
                <w:sz w:val="18"/>
                <w:szCs w:val="18"/>
              </w:rPr>
            </w:pPr>
            <w:r w:rsidRPr="00AE295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E295C" w:rsidRPr="00AE295C" w:rsidRDefault="00AE295C" w:rsidP="00AE295C">
      <w:pPr>
        <w:widowControl/>
        <w:jc w:val="center"/>
        <w:rPr>
          <w:rFonts w:ascii="微软雅黑" w:eastAsia="微软雅黑" w:hAnsi="微软雅黑" w:cs="宋体"/>
          <w:color w:val="515151"/>
          <w:kern w:val="0"/>
          <w:sz w:val="18"/>
          <w:szCs w:val="18"/>
        </w:rPr>
      </w:pPr>
      <w:hyperlink r:id="rId11" w:tgtFrame="_blank" w:history="1">
        <w:r w:rsidRPr="00AE295C">
          <w:rPr>
            <w:rFonts w:ascii="微软雅黑" w:eastAsia="微软雅黑" w:hAnsi="微软雅黑" w:cs="宋体" w:hint="eastAsia"/>
            <w:color w:val="0000FF"/>
            <w:kern w:val="0"/>
            <w:sz w:val="18"/>
            <w:szCs w:val="18"/>
            <w:u w:val="single"/>
          </w:rPr>
          <w:t>关于我们</w:t>
        </w:r>
      </w:hyperlink>
      <w:r w:rsidRPr="00AE295C">
        <w:rPr>
          <w:rFonts w:ascii="微软雅黑" w:eastAsia="微软雅黑" w:hAnsi="微软雅黑" w:cs="宋体" w:hint="eastAsia"/>
          <w:color w:val="515151"/>
          <w:kern w:val="0"/>
          <w:sz w:val="18"/>
          <w:szCs w:val="18"/>
        </w:rPr>
        <w:t> - </w:t>
      </w:r>
      <w:hyperlink r:id="rId12" w:tgtFrame="_blank" w:history="1">
        <w:r w:rsidRPr="00AE295C">
          <w:rPr>
            <w:rFonts w:ascii="微软雅黑" w:eastAsia="微软雅黑" w:hAnsi="微软雅黑" w:cs="宋体" w:hint="eastAsia"/>
            <w:color w:val="0000FF"/>
            <w:kern w:val="0"/>
            <w:sz w:val="18"/>
            <w:szCs w:val="18"/>
            <w:u w:val="single"/>
          </w:rPr>
          <w:t>法律声明</w:t>
        </w:r>
      </w:hyperlink>
      <w:r w:rsidRPr="00AE295C">
        <w:rPr>
          <w:rFonts w:ascii="微软雅黑" w:eastAsia="微软雅黑" w:hAnsi="微软雅黑" w:cs="宋体" w:hint="eastAsia"/>
          <w:color w:val="515151"/>
          <w:kern w:val="0"/>
          <w:sz w:val="18"/>
          <w:szCs w:val="18"/>
        </w:rPr>
        <w:t> - </w:t>
      </w:r>
      <w:hyperlink r:id="rId13" w:tgtFrame="_blank" w:history="1">
        <w:r w:rsidRPr="00AE295C">
          <w:rPr>
            <w:rFonts w:ascii="微软雅黑" w:eastAsia="微软雅黑" w:hAnsi="微软雅黑" w:cs="宋体" w:hint="eastAsia"/>
            <w:color w:val="0000FF"/>
            <w:kern w:val="0"/>
            <w:sz w:val="18"/>
            <w:szCs w:val="18"/>
            <w:u w:val="single"/>
          </w:rPr>
          <w:t>联系我们</w:t>
        </w:r>
      </w:hyperlink>
    </w:p>
    <w:p w:rsidR="00AE295C" w:rsidRPr="00AE295C" w:rsidRDefault="00AE295C" w:rsidP="00AE295C">
      <w:pPr>
        <w:widowControl/>
        <w:jc w:val="center"/>
        <w:rPr>
          <w:rFonts w:ascii="微软雅黑" w:eastAsia="微软雅黑" w:hAnsi="微软雅黑" w:cs="宋体" w:hint="eastAsia"/>
          <w:color w:val="515151"/>
          <w:kern w:val="0"/>
          <w:sz w:val="18"/>
          <w:szCs w:val="18"/>
        </w:rPr>
      </w:pPr>
      <w:r w:rsidRPr="00AE295C">
        <w:rPr>
          <w:rFonts w:ascii="微软雅黑" w:eastAsia="微软雅黑" w:hAnsi="微软雅黑" w:cs="宋体" w:hint="eastAsia"/>
          <w:color w:val="515151"/>
          <w:kern w:val="0"/>
          <w:sz w:val="18"/>
          <w:szCs w:val="18"/>
        </w:rPr>
        <w:t>版权所有：中国证券监督管理委员会 京ICP备 05035542号</w:t>
      </w:r>
    </w:p>
    <w:p w:rsidR="00AE295C" w:rsidRPr="00AE295C" w:rsidRDefault="00AE295C" w:rsidP="00AE295C">
      <w:pPr>
        <w:widowControl/>
        <w:jc w:val="center"/>
        <w:rPr>
          <w:rFonts w:ascii="微软雅黑" w:eastAsia="微软雅黑" w:hAnsi="微软雅黑" w:cs="宋体" w:hint="eastAsia"/>
          <w:color w:val="515151"/>
          <w:kern w:val="0"/>
          <w:sz w:val="18"/>
          <w:szCs w:val="18"/>
        </w:rPr>
      </w:pPr>
      <w:r w:rsidRPr="00AE295C">
        <w:rPr>
          <w:rFonts w:ascii="微软雅黑" w:eastAsia="微软雅黑" w:hAnsi="微软雅黑" w:cs="宋体" w:hint="eastAsia"/>
          <w:color w:val="515151"/>
          <w:kern w:val="0"/>
          <w:sz w:val="18"/>
          <w:szCs w:val="18"/>
        </w:rPr>
        <w:t>地址：北京市西城区金融大街19号富凯大厦A座 邮编：100033</w:t>
      </w:r>
    </w:p>
    <w:p w:rsidR="00AE295C" w:rsidRPr="00AE295C" w:rsidRDefault="00AE295C" w:rsidP="00AE295C">
      <w:pPr>
        <w:widowControl/>
        <w:jc w:val="center"/>
        <w:rPr>
          <w:rFonts w:ascii="微软雅黑" w:eastAsia="微软雅黑" w:hAnsi="微软雅黑" w:cs="宋体" w:hint="eastAsia"/>
          <w:color w:val="515151"/>
          <w:kern w:val="0"/>
          <w:sz w:val="18"/>
          <w:szCs w:val="18"/>
        </w:rPr>
      </w:pPr>
      <w:r w:rsidRPr="00AE295C">
        <w:rPr>
          <w:rFonts w:ascii="微软雅黑" w:eastAsia="微软雅黑" w:hAnsi="微软雅黑" w:cs="宋体" w:hint="eastAsia"/>
          <w:color w:val="515151"/>
          <w:kern w:val="0"/>
          <w:sz w:val="18"/>
          <w:szCs w:val="18"/>
        </w:rPr>
        <w:t>建议使用IE5.5以上浏览器，分辨率1024*768</w:t>
      </w:r>
    </w:p>
    <w:p w:rsidR="00801F9F" w:rsidRPr="00AE295C" w:rsidRDefault="00801F9F"/>
    <w:sectPr w:rsidR="00801F9F" w:rsidRPr="00AE2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5C"/>
    <w:rsid w:val="00801F9F"/>
    <w:rsid w:val="00AE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47B7E-433D-41B2-9028-6F7EBD75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29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295C"/>
    <w:rPr>
      <w:b/>
      <w:bCs/>
    </w:rPr>
  </w:style>
  <w:style w:type="paragraph" w:customStyle="1" w:styleId="p0">
    <w:name w:val="p0"/>
    <w:basedOn w:val="a"/>
    <w:rsid w:val="00AE295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E2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94910">
      <w:bodyDiv w:val="1"/>
      <w:marLeft w:val="0"/>
      <w:marRight w:val="0"/>
      <w:marTop w:val="0"/>
      <w:marBottom w:val="0"/>
      <w:divBdr>
        <w:top w:val="none" w:sz="0" w:space="0" w:color="auto"/>
        <w:left w:val="none" w:sz="0" w:space="0" w:color="auto"/>
        <w:bottom w:val="none" w:sz="0" w:space="0" w:color="auto"/>
        <w:right w:val="none" w:sz="0" w:space="0" w:color="auto"/>
      </w:divBdr>
      <w:divsChild>
        <w:div w:id="621813487">
          <w:marLeft w:val="0"/>
          <w:marRight w:val="0"/>
          <w:marTop w:val="150"/>
          <w:marBottom w:val="150"/>
          <w:divBdr>
            <w:top w:val="none" w:sz="0" w:space="0" w:color="auto"/>
            <w:left w:val="none" w:sz="0" w:space="0" w:color="auto"/>
            <w:bottom w:val="none" w:sz="0" w:space="0" w:color="auto"/>
            <w:right w:val="none" w:sz="0" w:space="0" w:color="auto"/>
          </w:divBdr>
        </w:div>
        <w:div w:id="142934792">
          <w:marLeft w:val="0"/>
          <w:marRight w:val="0"/>
          <w:marTop w:val="0"/>
          <w:marBottom w:val="0"/>
          <w:divBdr>
            <w:top w:val="single" w:sz="6" w:space="8" w:color="B5B5B5"/>
            <w:left w:val="single" w:sz="6" w:space="0" w:color="B5B5B5"/>
            <w:bottom w:val="single" w:sz="6" w:space="8" w:color="B5B5B5"/>
            <w:right w:val="single" w:sz="6" w:space="0" w:color="B5B5B5"/>
          </w:divBdr>
          <w:divsChild>
            <w:div w:id="1006177516">
              <w:marLeft w:val="0"/>
              <w:marRight w:val="0"/>
              <w:marTop w:val="0"/>
              <w:marBottom w:val="0"/>
              <w:divBdr>
                <w:top w:val="none" w:sz="0" w:space="0" w:color="auto"/>
                <w:left w:val="none" w:sz="0" w:space="0" w:color="auto"/>
                <w:bottom w:val="none" w:sz="0" w:space="0" w:color="auto"/>
                <w:right w:val="none" w:sz="0" w:space="0" w:color="auto"/>
              </w:divBdr>
            </w:div>
            <w:div w:id="1342274777">
              <w:marLeft w:val="0"/>
              <w:marRight w:val="0"/>
              <w:marTop w:val="0"/>
              <w:marBottom w:val="0"/>
              <w:divBdr>
                <w:top w:val="none" w:sz="0" w:space="0" w:color="auto"/>
                <w:left w:val="none" w:sz="0" w:space="0" w:color="auto"/>
                <w:bottom w:val="none" w:sz="0" w:space="0" w:color="auto"/>
                <w:right w:val="none" w:sz="0" w:space="0" w:color="auto"/>
              </w:divBdr>
            </w:div>
            <w:div w:id="1904944301">
              <w:marLeft w:val="0"/>
              <w:marRight w:val="0"/>
              <w:marTop w:val="120"/>
              <w:marBottom w:val="120"/>
              <w:divBdr>
                <w:top w:val="none" w:sz="0" w:space="0" w:color="auto"/>
                <w:left w:val="none" w:sz="0" w:space="0" w:color="auto"/>
                <w:bottom w:val="none" w:sz="0" w:space="0" w:color="auto"/>
                <w:right w:val="none" w:sz="0" w:space="0" w:color="auto"/>
              </w:divBdr>
            </w:div>
          </w:divsChild>
        </w:div>
        <w:div w:id="359016246">
          <w:marLeft w:val="0"/>
          <w:marRight w:val="0"/>
          <w:marTop w:val="120"/>
          <w:marBottom w:val="0"/>
          <w:divBdr>
            <w:top w:val="none" w:sz="0" w:space="0" w:color="auto"/>
            <w:left w:val="none" w:sz="0" w:space="0" w:color="auto"/>
            <w:bottom w:val="none" w:sz="0" w:space="0" w:color="auto"/>
            <w:right w:val="none" w:sz="0" w:space="0" w:color="auto"/>
          </w:divBdr>
          <w:divsChild>
            <w:div w:id="1359698796">
              <w:marLeft w:val="0"/>
              <w:marRight w:val="0"/>
              <w:marTop w:val="60"/>
              <w:marBottom w:val="0"/>
              <w:divBdr>
                <w:top w:val="none" w:sz="0" w:space="0" w:color="auto"/>
                <w:left w:val="none" w:sz="0" w:space="0" w:color="auto"/>
                <w:bottom w:val="none" w:sz="0" w:space="0" w:color="auto"/>
                <w:right w:val="none" w:sz="0" w:space="0" w:color="auto"/>
              </w:divBdr>
            </w:div>
            <w:div w:id="1784612244">
              <w:marLeft w:val="0"/>
              <w:marRight w:val="0"/>
              <w:marTop w:val="60"/>
              <w:marBottom w:val="0"/>
              <w:divBdr>
                <w:top w:val="none" w:sz="0" w:space="0" w:color="auto"/>
                <w:left w:val="none" w:sz="0" w:space="0" w:color="auto"/>
                <w:bottom w:val="none" w:sz="0" w:space="0" w:color="auto"/>
                <w:right w:val="none" w:sz="0" w:space="0" w:color="auto"/>
              </w:divBdr>
            </w:div>
            <w:div w:id="2100520780">
              <w:marLeft w:val="0"/>
              <w:marRight w:val="0"/>
              <w:marTop w:val="60"/>
              <w:marBottom w:val="0"/>
              <w:divBdr>
                <w:top w:val="none" w:sz="0" w:space="0" w:color="auto"/>
                <w:left w:val="none" w:sz="0" w:space="0" w:color="auto"/>
                <w:bottom w:val="none" w:sz="0" w:space="0" w:color="auto"/>
                <w:right w:val="none" w:sz="0" w:space="0" w:color="auto"/>
              </w:divBdr>
            </w:div>
            <w:div w:id="19706686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05_29535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2020-02-17T15:01:00Z</dcterms:created>
  <dcterms:modified xsi:type="dcterms:W3CDTF">2020-02-17T15:02:00Z</dcterms:modified>
</cp:coreProperties>
</file>