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6A0" w:rsidRPr="001136A0" w:rsidRDefault="001136A0" w:rsidP="001136A0">
      <w:pPr>
        <w:widowControl/>
        <w:jc w:val="center"/>
        <w:rPr>
          <w:rFonts w:ascii="微软雅黑" w:eastAsia="微软雅黑" w:hAnsi="微软雅黑" w:cs="宋体"/>
          <w:color w:val="000000"/>
          <w:kern w:val="0"/>
          <w:sz w:val="18"/>
          <w:szCs w:val="18"/>
        </w:rPr>
      </w:pPr>
      <w:r w:rsidRPr="001136A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136A0" w:rsidRPr="001136A0" w:rsidTr="001136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36A0" w:rsidRPr="001136A0">
              <w:trPr>
                <w:tblCellSpacing w:w="0" w:type="dxa"/>
              </w:trPr>
              <w:tc>
                <w:tcPr>
                  <w:tcW w:w="2500" w:type="pct"/>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hint="eastAsia"/>
                      <w:color w:val="686868"/>
                      <w:kern w:val="0"/>
                      <w:sz w:val="18"/>
                      <w:szCs w:val="18"/>
                    </w:rPr>
                  </w:pPr>
                  <w:r w:rsidRPr="001136A0">
                    <w:rPr>
                      <w:rFonts w:ascii="宋体" w:eastAsia="宋体" w:hAnsi="宋体" w:cs="宋体"/>
                      <w:b/>
                      <w:bCs/>
                      <w:color w:val="686868"/>
                      <w:kern w:val="0"/>
                      <w:sz w:val="18"/>
                      <w:szCs w:val="18"/>
                    </w:rPr>
                    <w:t>索 引 号:</w:t>
                  </w:r>
                  <w:r w:rsidRPr="001136A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分类:</w:t>
                  </w:r>
                  <w:r w:rsidRPr="001136A0">
                    <w:rPr>
                      <w:rFonts w:ascii="宋体" w:eastAsia="宋体" w:hAnsi="宋体" w:cs="宋体"/>
                      <w:color w:val="686868"/>
                      <w:kern w:val="0"/>
                      <w:sz w:val="18"/>
                      <w:szCs w:val="18"/>
                    </w:rPr>
                    <w:t> 行政处罚 ; 行政处罚决定</w:t>
                  </w:r>
                </w:p>
              </w:tc>
            </w:tr>
          </w:tbl>
          <w:p w:rsidR="001136A0" w:rsidRPr="001136A0" w:rsidRDefault="001136A0" w:rsidP="001136A0">
            <w:pPr>
              <w:widowControl/>
              <w:jc w:val="left"/>
              <w:rPr>
                <w:rFonts w:ascii="宋体" w:eastAsia="宋体" w:hAnsi="宋体" w:cs="宋体"/>
                <w:color w:val="686868"/>
                <w:kern w:val="0"/>
                <w:sz w:val="18"/>
                <w:szCs w:val="18"/>
              </w:rPr>
            </w:pPr>
          </w:p>
        </w:tc>
      </w:tr>
      <w:tr w:rsidR="001136A0" w:rsidRPr="001136A0" w:rsidTr="001136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36A0" w:rsidRPr="001136A0">
              <w:trPr>
                <w:tblCellSpacing w:w="0" w:type="dxa"/>
              </w:trPr>
              <w:tc>
                <w:tcPr>
                  <w:tcW w:w="2500" w:type="pct"/>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发布机构:</w:t>
                  </w:r>
                  <w:r w:rsidRPr="001136A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发文日期:</w:t>
                  </w:r>
                  <w:r w:rsidRPr="001136A0">
                    <w:rPr>
                      <w:rFonts w:ascii="宋体" w:eastAsia="宋体" w:hAnsi="宋体" w:cs="宋体"/>
                      <w:color w:val="686868"/>
                      <w:kern w:val="0"/>
                      <w:sz w:val="18"/>
                      <w:szCs w:val="18"/>
                    </w:rPr>
                    <w:t> 2016年03月21日</w:t>
                  </w:r>
                </w:p>
              </w:tc>
            </w:tr>
          </w:tbl>
          <w:p w:rsidR="001136A0" w:rsidRPr="001136A0" w:rsidRDefault="001136A0" w:rsidP="001136A0">
            <w:pPr>
              <w:widowControl/>
              <w:jc w:val="left"/>
              <w:rPr>
                <w:rFonts w:ascii="宋体" w:eastAsia="宋体" w:hAnsi="宋体" w:cs="宋体"/>
                <w:color w:val="686868"/>
                <w:kern w:val="0"/>
                <w:sz w:val="18"/>
                <w:szCs w:val="18"/>
              </w:rPr>
            </w:pPr>
          </w:p>
        </w:tc>
      </w:tr>
      <w:tr w:rsidR="001136A0" w:rsidRPr="001136A0" w:rsidTr="001136A0">
        <w:trPr>
          <w:tblCellSpacing w:w="0" w:type="dxa"/>
          <w:jc w:val="center"/>
        </w:trPr>
        <w:tc>
          <w:tcPr>
            <w:tcW w:w="0" w:type="auto"/>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名　　称:</w:t>
            </w:r>
            <w:r w:rsidRPr="001136A0">
              <w:rPr>
                <w:rFonts w:ascii="宋体" w:eastAsia="宋体" w:hAnsi="宋体" w:cs="宋体"/>
                <w:color w:val="686868"/>
                <w:kern w:val="0"/>
                <w:sz w:val="18"/>
                <w:szCs w:val="18"/>
              </w:rPr>
              <w:t> 中国证监会行政处罚决定书（李云岗）</w:t>
            </w:r>
          </w:p>
        </w:tc>
      </w:tr>
      <w:tr w:rsidR="001136A0" w:rsidRPr="001136A0" w:rsidTr="001136A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36A0" w:rsidRPr="001136A0">
              <w:trPr>
                <w:tblCellSpacing w:w="0" w:type="dxa"/>
              </w:trPr>
              <w:tc>
                <w:tcPr>
                  <w:tcW w:w="2500" w:type="pct"/>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文　　号:</w:t>
                  </w:r>
                  <w:r w:rsidRPr="001136A0">
                    <w:rPr>
                      <w:rFonts w:ascii="宋体" w:eastAsia="宋体" w:hAnsi="宋体" w:cs="宋体"/>
                      <w:color w:val="686868"/>
                      <w:kern w:val="0"/>
                      <w:sz w:val="18"/>
                      <w:szCs w:val="18"/>
                    </w:rPr>
                    <w:t> </w:t>
                  </w:r>
                  <w:bookmarkStart w:id="0" w:name="_GoBack"/>
                  <w:r w:rsidRPr="001136A0">
                    <w:rPr>
                      <w:rFonts w:ascii="宋体" w:eastAsia="宋体" w:hAnsi="宋体" w:cs="宋体"/>
                      <w:color w:val="686868"/>
                      <w:kern w:val="0"/>
                      <w:sz w:val="18"/>
                      <w:szCs w:val="18"/>
                    </w:rPr>
                    <w:t>〔2016〕30号</w:t>
                  </w:r>
                  <w:bookmarkEnd w:id="0"/>
                </w:p>
              </w:tc>
              <w:tc>
                <w:tcPr>
                  <w:tcW w:w="0" w:type="auto"/>
                  <w:tcMar>
                    <w:top w:w="30" w:type="dxa"/>
                    <w:left w:w="30" w:type="dxa"/>
                    <w:bottom w:w="30" w:type="dxa"/>
                    <w:right w:w="30" w:type="dxa"/>
                  </w:tcMar>
                  <w:hideMark/>
                </w:tcPr>
                <w:p w:rsidR="001136A0" w:rsidRPr="001136A0" w:rsidRDefault="001136A0" w:rsidP="001136A0">
                  <w:pPr>
                    <w:widowControl/>
                    <w:jc w:val="left"/>
                    <w:rPr>
                      <w:rFonts w:ascii="宋体" w:eastAsia="宋体" w:hAnsi="宋体" w:cs="宋体"/>
                      <w:color w:val="686868"/>
                      <w:kern w:val="0"/>
                      <w:sz w:val="18"/>
                      <w:szCs w:val="18"/>
                    </w:rPr>
                  </w:pPr>
                  <w:r w:rsidRPr="001136A0">
                    <w:rPr>
                      <w:rFonts w:ascii="宋体" w:eastAsia="宋体" w:hAnsi="宋体" w:cs="宋体"/>
                      <w:b/>
                      <w:bCs/>
                      <w:color w:val="686868"/>
                      <w:kern w:val="0"/>
                      <w:sz w:val="18"/>
                      <w:szCs w:val="18"/>
                    </w:rPr>
                    <w:t>主 题 词:</w:t>
                  </w:r>
                </w:p>
              </w:tc>
            </w:tr>
          </w:tbl>
          <w:p w:rsidR="001136A0" w:rsidRPr="001136A0" w:rsidRDefault="001136A0" w:rsidP="001136A0">
            <w:pPr>
              <w:widowControl/>
              <w:jc w:val="left"/>
              <w:rPr>
                <w:rFonts w:ascii="宋体" w:eastAsia="宋体" w:hAnsi="宋体" w:cs="宋体"/>
                <w:color w:val="686868"/>
                <w:kern w:val="0"/>
                <w:sz w:val="18"/>
                <w:szCs w:val="18"/>
              </w:rPr>
            </w:pPr>
          </w:p>
        </w:tc>
      </w:tr>
    </w:tbl>
    <w:p w:rsidR="001136A0" w:rsidRPr="001136A0" w:rsidRDefault="001136A0" w:rsidP="001136A0">
      <w:pPr>
        <w:widowControl/>
        <w:jc w:val="center"/>
        <w:rPr>
          <w:rFonts w:ascii="微软雅黑" w:eastAsia="微软雅黑" w:hAnsi="微软雅黑" w:cs="宋体"/>
          <w:color w:val="000000"/>
          <w:kern w:val="0"/>
          <w:sz w:val="18"/>
          <w:szCs w:val="18"/>
        </w:rPr>
      </w:pPr>
      <w:r w:rsidRPr="001136A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136A0" w:rsidRPr="001136A0" w:rsidRDefault="001136A0" w:rsidP="001136A0">
      <w:pPr>
        <w:widowControl/>
        <w:shd w:val="clear" w:color="auto" w:fill="FFFFFF"/>
        <w:spacing w:after="240"/>
        <w:jc w:val="center"/>
        <w:rPr>
          <w:rFonts w:ascii="微软雅黑" w:eastAsia="微软雅黑" w:hAnsi="微软雅黑" w:cs="宋体" w:hint="eastAsia"/>
          <w:color w:val="000000"/>
          <w:kern w:val="0"/>
          <w:sz w:val="18"/>
          <w:szCs w:val="18"/>
        </w:rPr>
      </w:pPr>
      <w:r w:rsidRPr="001136A0">
        <w:rPr>
          <w:rFonts w:ascii="微软雅黑" w:eastAsia="微软雅黑" w:hAnsi="微软雅黑" w:cs="宋体" w:hint="eastAsia"/>
          <w:color w:val="000000"/>
          <w:kern w:val="0"/>
          <w:sz w:val="18"/>
          <w:szCs w:val="18"/>
        </w:rPr>
        <w:br/>
      </w:r>
      <w:r w:rsidRPr="001136A0">
        <w:rPr>
          <w:rFonts w:ascii="黑体" w:eastAsia="黑体" w:hAnsi="黑体" w:cs="宋体" w:hint="eastAsia"/>
          <w:b/>
          <w:bCs/>
          <w:color w:val="FF0000"/>
          <w:kern w:val="0"/>
          <w:sz w:val="36"/>
          <w:szCs w:val="36"/>
        </w:rPr>
        <w:t>中国证监会行政处罚决定书（李云岗）</w:t>
      </w:r>
    </w:p>
    <w:p w:rsidR="001136A0" w:rsidRPr="001136A0" w:rsidRDefault="001136A0" w:rsidP="001136A0">
      <w:pPr>
        <w:widowControl/>
        <w:shd w:val="clear" w:color="auto" w:fill="FFFFFF"/>
        <w:spacing w:line="360" w:lineRule="atLeast"/>
        <w:jc w:val="center"/>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〔2016〕30号</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当事人：李云岗，男，1950年2月出生，住址：北京市海淀区。</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依据《中华人民共和国证券法》（以下简称《证券法》）的有关规定，我会对李云岗内幕交易行为进行了立案调查、审理，依法向当事人告知了</w:t>
      </w:r>
      <w:proofErr w:type="gramStart"/>
      <w:r w:rsidRPr="001136A0">
        <w:rPr>
          <w:rFonts w:ascii="宋体" w:eastAsia="宋体" w:hAnsi="宋体" w:cs="宋体" w:hint="eastAsia"/>
          <w:color w:val="000000"/>
          <w:kern w:val="0"/>
          <w:szCs w:val="21"/>
        </w:rPr>
        <w:t>作出</w:t>
      </w:r>
      <w:proofErr w:type="gramEnd"/>
      <w:r w:rsidRPr="001136A0">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经查明，李云岗存在以下违法事实：</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一、内幕信息的形成和公开过程</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2013年初，李某军任中电广通股份有限公司（以下简称中电广通）总经理，集团方面鼓励他进行资本运作，做大做强，但思路和方案要由上市公司提出,集团不会主动提出方案。2013年下半年，李某军要求中电广通三位副总经理李某明、叶某川、杨某生共同寻找项目并进行比较。经过对项目的接触和逐一筛选，最后目标逐渐集中于北京华大智宝电子系统有限公司（以下简称华大智宝）。</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2013年8、9月，李某军、李某明和叶某川赴华大智宝了解对方情况，8月16日，中电广通证券事务代表刘某楠将《中电广通与华大智宝整合思路》邮件发送给李某军，后又应李某军的要求将该文件发送给中国电子信息产业集团有限公司（以下简称中国电子）资产经营部资深副经理于某。8月25日，中国电子资产经营部在部门内形成《中国电子集成电路业务整合调整思路》。</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2013年9月16日，华大智宝科技管理部将修改后的方案《中电广通与华大智宝整合思路v2b》发送给李某明、叶某川。9月17</w:t>
      </w:r>
      <w:proofErr w:type="gramStart"/>
      <w:r w:rsidRPr="001136A0">
        <w:rPr>
          <w:rFonts w:ascii="宋体" w:eastAsia="宋体" w:hAnsi="宋体" w:cs="宋体" w:hint="eastAsia"/>
          <w:color w:val="000000"/>
          <w:kern w:val="0"/>
          <w:szCs w:val="21"/>
        </w:rPr>
        <w:t>日中电广通规划部</w:t>
      </w:r>
      <w:proofErr w:type="gramEnd"/>
      <w:r w:rsidRPr="001136A0">
        <w:rPr>
          <w:rFonts w:ascii="宋体" w:eastAsia="宋体" w:hAnsi="宋体" w:cs="宋体" w:hint="eastAsia"/>
          <w:color w:val="000000"/>
          <w:kern w:val="0"/>
          <w:szCs w:val="21"/>
        </w:rPr>
        <w:t>形成《中电广通并购华大智宝的方案-初稿》等文件。9月18日，华大智宝副总经理赵某将上述初稿发送给李某军和华大智宝总经理程某格。</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2013年9月24日，中国电子总会计师李某春（兼任中电广通董事长）、总经济师吴某（兼任资产经营部主任）、李某明、申银万国刘某会面。</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lastRenderedPageBreak/>
        <w:t>2013年9月28日李某军就中电广通和华大智宝重组问题向李某春汇报，李某春未置可否。2013年10月16日，申银万国向中电广通出具了《保密承诺函》。</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2013年11月至2014年4月，李某明与申银万国陈某反复沟通修改重组方案。</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2014年1月6日，华大智宝总经理办公会上程某格向与会人员介绍“中电广通重组方案还不确定，中国电子领导还存在反对意见，要进一步等待领导决策和决定”。与会人员有程某格、李云岗、许某等11人。</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2014年4月吴某从中国电子资产经营部层面认可了重组方案，同期李某春也认可了重组方案。</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2014年5月22日，中电广通公告称“因公司正在筹划重大事项”而停牌。10月22</w:t>
      </w:r>
      <w:proofErr w:type="gramStart"/>
      <w:r w:rsidRPr="001136A0">
        <w:rPr>
          <w:rFonts w:ascii="宋体" w:eastAsia="宋体" w:hAnsi="宋体" w:cs="宋体" w:hint="eastAsia"/>
          <w:color w:val="000000"/>
          <w:kern w:val="0"/>
          <w:szCs w:val="21"/>
        </w:rPr>
        <w:t>日中电</w:t>
      </w:r>
      <w:proofErr w:type="gramEnd"/>
      <w:r w:rsidRPr="001136A0">
        <w:rPr>
          <w:rFonts w:ascii="宋体" w:eastAsia="宋体" w:hAnsi="宋体" w:cs="宋体" w:hint="eastAsia"/>
          <w:color w:val="000000"/>
          <w:kern w:val="0"/>
          <w:szCs w:val="21"/>
        </w:rPr>
        <w:t>广通公告称“本次重组由于交易各方对业绩对赌存在分歧而终止，公司将于2014年10月22日（即日）复牌”。复牌后，连续两日以涨停价收盘，10月24日打开涨停收于9.04元。</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中电广通2014年5月22日发布的“重大事项停牌公告”所涉相关信息为中电</w:t>
      </w:r>
      <w:proofErr w:type="gramStart"/>
      <w:r w:rsidRPr="001136A0">
        <w:rPr>
          <w:rFonts w:ascii="宋体" w:eastAsia="宋体" w:hAnsi="宋体" w:cs="宋体" w:hint="eastAsia"/>
          <w:color w:val="000000"/>
          <w:kern w:val="0"/>
          <w:szCs w:val="21"/>
        </w:rPr>
        <w:t>广通拟通过</w:t>
      </w:r>
      <w:proofErr w:type="gramEnd"/>
      <w:r w:rsidRPr="001136A0">
        <w:rPr>
          <w:rFonts w:ascii="宋体" w:eastAsia="宋体" w:hAnsi="宋体" w:cs="宋体" w:hint="eastAsia"/>
          <w:color w:val="000000"/>
          <w:kern w:val="0"/>
          <w:szCs w:val="21"/>
        </w:rPr>
        <w:t>发行股份方式购买华大智宝公司股权并募集资金，属于《证券法》第七十五条第二款第（三）项所述“公司股权结构的重大变化”，构成内幕信息。内幕信息敏感期为2013年10月16日至2014年5月21日。 </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二、李云岗内幕信息敏感期内交易“中电广通”的情况</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2014年1月6日华大智宝的总经理办公会上明确提到华大智宝可能与中电广</w:t>
      </w:r>
      <w:proofErr w:type="gramStart"/>
      <w:r w:rsidRPr="001136A0">
        <w:rPr>
          <w:rFonts w:ascii="宋体" w:eastAsia="宋体" w:hAnsi="宋体" w:cs="宋体" w:hint="eastAsia"/>
          <w:color w:val="000000"/>
          <w:kern w:val="0"/>
          <w:szCs w:val="21"/>
        </w:rPr>
        <w:t>通进行</w:t>
      </w:r>
      <w:proofErr w:type="gramEnd"/>
      <w:r w:rsidRPr="001136A0">
        <w:rPr>
          <w:rFonts w:ascii="宋体" w:eastAsia="宋体" w:hAnsi="宋体" w:cs="宋体" w:hint="eastAsia"/>
          <w:color w:val="000000"/>
          <w:kern w:val="0"/>
          <w:szCs w:val="21"/>
        </w:rPr>
        <w:t>资产重组。李云岗参加了本次会议，知悉内幕信息。</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“李云岗”账户于2002年2月28日开</w:t>
      </w:r>
      <w:proofErr w:type="gramStart"/>
      <w:r w:rsidRPr="001136A0">
        <w:rPr>
          <w:rFonts w:ascii="宋体" w:eastAsia="宋体" w:hAnsi="宋体" w:cs="宋体" w:hint="eastAsia"/>
          <w:color w:val="000000"/>
          <w:kern w:val="0"/>
          <w:szCs w:val="21"/>
        </w:rPr>
        <w:t>立于国</w:t>
      </w:r>
      <w:proofErr w:type="gramEnd"/>
      <w:r w:rsidRPr="001136A0">
        <w:rPr>
          <w:rFonts w:ascii="宋体" w:eastAsia="宋体" w:hAnsi="宋体" w:cs="宋体" w:hint="eastAsia"/>
          <w:color w:val="000000"/>
          <w:kern w:val="0"/>
          <w:szCs w:val="21"/>
        </w:rPr>
        <w:t>泰君安北京知春路营业部，资金账号18××××67，下挂一个上海证券账户A43××××925和一个深圳证券账户000××××367。2014年1月9日“李云岗”账户买入“中电广通”10,500股，成交金额76,650元；2014年3月27日卖出“中电广通”150,000股，成交金额1,380,000元。实际获利19,430.25元。</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以上事实有中电广通公告、中电广通和华大智宝提供的相关材料、相关人员询问笔录、当事人交易记录、电子邮件、通话记录等证据证明，足以认定。</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我会认为，李云岗利用内幕信息交易“中电广通”的行为违反了《证券法》第七十三条、第七十六条的规定，构成《证券法》第二百零二条所述内幕交易行为。</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根据当事人违法行为的事实、性质、情节与社会危害程度，依据《证券法》第二百零二条的规定，我会决定：对李云岗处以5万元罚款。</w:t>
      </w:r>
    </w:p>
    <w:p w:rsidR="001136A0" w:rsidRPr="001136A0" w:rsidRDefault="001136A0" w:rsidP="001136A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lastRenderedPageBreak/>
        <w:t> </w:t>
      </w:r>
    </w:p>
    <w:p w:rsidR="001136A0" w:rsidRPr="001136A0" w:rsidRDefault="001136A0" w:rsidP="001136A0">
      <w:pPr>
        <w:widowControl/>
        <w:shd w:val="clear" w:color="auto" w:fill="FFFFFF"/>
        <w:spacing w:line="360" w:lineRule="atLeast"/>
        <w:jc w:val="lef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中国证监会</w:t>
      </w:r>
      <w:proofErr w:type="gramStart"/>
      <w:r w:rsidRPr="001136A0">
        <w:rPr>
          <w:rFonts w:ascii="宋体" w:eastAsia="宋体" w:hAnsi="宋体" w:cs="宋体" w:hint="eastAsia"/>
          <w:color w:val="000000"/>
          <w:kern w:val="0"/>
          <w:szCs w:val="21"/>
        </w:rPr>
        <w:t xml:space="preserve">　　　　　</w:t>
      </w:r>
      <w:proofErr w:type="gramEnd"/>
      <w:r w:rsidRPr="001136A0">
        <w:rPr>
          <w:rFonts w:ascii="宋体" w:eastAsia="宋体" w:hAnsi="宋体" w:cs="宋体" w:hint="eastAsia"/>
          <w:color w:val="000000"/>
          <w:kern w:val="0"/>
          <w:szCs w:val="21"/>
        </w:rPr>
        <w:t> </w:t>
      </w:r>
    </w:p>
    <w:p w:rsidR="001136A0" w:rsidRPr="001136A0" w:rsidRDefault="001136A0" w:rsidP="001136A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136A0">
        <w:rPr>
          <w:rFonts w:ascii="宋体" w:eastAsia="宋体" w:hAnsi="宋体" w:cs="宋体" w:hint="eastAsia"/>
          <w:color w:val="000000"/>
          <w:kern w:val="0"/>
          <w:szCs w:val="21"/>
        </w:rPr>
        <w:t xml:space="preserve">2016年3月21日　　</w:t>
      </w:r>
      <w:proofErr w:type="gramStart"/>
      <w:r w:rsidRPr="001136A0">
        <w:rPr>
          <w:rFonts w:ascii="宋体" w:eastAsia="宋体" w:hAnsi="宋体" w:cs="宋体" w:hint="eastAsia"/>
          <w:color w:val="000000"/>
          <w:kern w:val="0"/>
          <w:szCs w:val="21"/>
        </w:rPr>
        <w:t xml:space="preserve">　　</w:t>
      </w:r>
      <w:proofErr w:type="gramEnd"/>
    </w:p>
    <w:p w:rsidR="001136A0" w:rsidRPr="001136A0" w:rsidRDefault="001136A0" w:rsidP="001136A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136A0" w:rsidRPr="001136A0" w:rsidTr="001136A0">
        <w:trPr>
          <w:tblCellSpacing w:w="15" w:type="dxa"/>
          <w:jc w:val="center"/>
        </w:trPr>
        <w:tc>
          <w:tcPr>
            <w:tcW w:w="900" w:type="dxa"/>
            <w:vAlign w:val="center"/>
            <w:hideMark/>
          </w:tcPr>
          <w:p w:rsidR="001136A0" w:rsidRPr="001136A0" w:rsidRDefault="001136A0" w:rsidP="001136A0">
            <w:pPr>
              <w:widowControl/>
              <w:jc w:val="left"/>
              <w:rPr>
                <w:rFonts w:ascii="宋体" w:eastAsia="宋体" w:hAnsi="宋体" w:cs="宋体" w:hint="eastAsia"/>
                <w:kern w:val="0"/>
                <w:sz w:val="18"/>
                <w:szCs w:val="18"/>
              </w:rPr>
            </w:pPr>
            <w:r w:rsidRPr="001136A0">
              <w:rPr>
                <w:rFonts w:ascii="宋体" w:eastAsia="宋体" w:hAnsi="宋体" w:cs="宋体"/>
                <w:kern w:val="0"/>
                <w:sz w:val="18"/>
                <w:szCs w:val="18"/>
              </w:rPr>
              <w:t> </w:t>
            </w:r>
          </w:p>
        </w:tc>
        <w:tc>
          <w:tcPr>
            <w:tcW w:w="1200" w:type="dxa"/>
            <w:vAlign w:val="center"/>
            <w:hideMark/>
          </w:tcPr>
          <w:p w:rsidR="001136A0" w:rsidRPr="001136A0" w:rsidRDefault="001136A0" w:rsidP="001136A0">
            <w:pPr>
              <w:widowControl/>
              <w:jc w:val="left"/>
              <w:rPr>
                <w:rFonts w:ascii="宋体" w:eastAsia="宋体" w:hAnsi="宋体" w:cs="宋体"/>
                <w:kern w:val="0"/>
                <w:sz w:val="18"/>
                <w:szCs w:val="18"/>
              </w:rPr>
            </w:pPr>
            <w:r w:rsidRPr="001136A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136A0" w:rsidRPr="001136A0" w:rsidRDefault="001136A0" w:rsidP="001136A0">
            <w:pPr>
              <w:widowControl/>
              <w:jc w:val="left"/>
              <w:rPr>
                <w:rFonts w:ascii="宋体" w:eastAsia="宋体" w:hAnsi="宋体" w:cs="宋体"/>
                <w:kern w:val="0"/>
                <w:sz w:val="18"/>
                <w:szCs w:val="18"/>
              </w:rPr>
            </w:pPr>
            <w:r w:rsidRPr="001136A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136A0" w:rsidRPr="001136A0" w:rsidRDefault="001136A0" w:rsidP="001136A0">
            <w:pPr>
              <w:widowControl/>
              <w:jc w:val="left"/>
              <w:rPr>
                <w:rFonts w:ascii="宋体" w:eastAsia="宋体" w:hAnsi="宋体" w:cs="宋体"/>
                <w:kern w:val="0"/>
                <w:sz w:val="18"/>
                <w:szCs w:val="18"/>
              </w:rPr>
            </w:pPr>
            <w:r w:rsidRPr="001136A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136A0" w:rsidRPr="001136A0" w:rsidRDefault="001136A0" w:rsidP="001136A0">
      <w:pPr>
        <w:widowControl/>
        <w:jc w:val="center"/>
        <w:rPr>
          <w:rFonts w:ascii="微软雅黑" w:eastAsia="微软雅黑" w:hAnsi="微软雅黑" w:cs="宋体"/>
          <w:color w:val="515151"/>
          <w:kern w:val="0"/>
          <w:sz w:val="18"/>
          <w:szCs w:val="18"/>
        </w:rPr>
      </w:pPr>
      <w:hyperlink r:id="rId11" w:tgtFrame="_blank" w:history="1">
        <w:r w:rsidRPr="001136A0">
          <w:rPr>
            <w:rFonts w:ascii="微软雅黑" w:eastAsia="微软雅黑" w:hAnsi="微软雅黑" w:cs="宋体" w:hint="eastAsia"/>
            <w:color w:val="0000FF"/>
            <w:kern w:val="0"/>
            <w:sz w:val="18"/>
            <w:szCs w:val="18"/>
            <w:u w:val="single"/>
          </w:rPr>
          <w:t>关于我们</w:t>
        </w:r>
      </w:hyperlink>
      <w:r w:rsidRPr="001136A0">
        <w:rPr>
          <w:rFonts w:ascii="微软雅黑" w:eastAsia="微软雅黑" w:hAnsi="微软雅黑" w:cs="宋体" w:hint="eastAsia"/>
          <w:color w:val="515151"/>
          <w:kern w:val="0"/>
          <w:sz w:val="18"/>
          <w:szCs w:val="18"/>
        </w:rPr>
        <w:t> - </w:t>
      </w:r>
      <w:hyperlink r:id="rId12" w:tgtFrame="_blank" w:history="1">
        <w:r w:rsidRPr="001136A0">
          <w:rPr>
            <w:rFonts w:ascii="微软雅黑" w:eastAsia="微软雅黑" w:hAnsi="微软雅黑" w:cs="宋体" w:hint="eastAsia"/>
            <w:color w:val="0000FF"/>
            <w:kern w:val="0"/>
            <w:sz w:val="18"/>
            <w:szCs w:val="18"/>
            <w:u w:val="single"/>
          </w:rPr>
          <w:t>法律声明</w:t>
        </w:r>
      </w:hyperlink>
      <w:r w:rsidRPr="001136A0">
        <w:rPr>
          <w:rFonts w:ascii="微软雅黑" w:eastAsia="微软雅黑" w:hAnsi="微软雅黑" w:cs="宋体" w:hint="eastAsia"/>
          <w:color w:val="515151"/>
          <w:kern w:val="0"/>
          <w:sz w:val="18"/>
          <w:szCs w:val="18"/>
        </w:rPr>
        <w:t> - </w:t>
      </w:r>
      <w:hyperlink r:id="rId13" w:tgtFrame="_blank" w:history="1">
        <w:r w:rsidRPr="001136A0">
          <w:rPr>
            <w:rFonts w:ascii="微软雅黑" w:eastAsia="微软雅黑" w:hAnsi="微软雅黑" w:cs="宋体" w:hint="eastAsia"/>
            <w:color w:val="0000FF"/>
            <w:kern w:val="0"/>
            <w:sz w:val="18"/>
            <w:szCs w:val="18"/>
            <w:u w:val="single"/>
          </w:rPr>
          <w:t>联系我们</w:t>
        </w:r>
      </w:hyperlink>
    </w:p>
    <w:p w:rsidR="001136A0" w:rsidRPr="001136A0" w:rsidRDefault="001136A0" w:rsidP="001136A0">
      <w:pPr>
        <w:widowControl/>
        <w:jc w:val="center"/>
        <w:rPr>
          <w:rFonts w:ascii="微软雅黑" w:eastAsia="微软雅黑" w:hAnsi="微软雅黑" w:cs="宋体" w:hint="eastAsia"/>
          <w:color w:val="515151"/>
          <w:kern w:val="0"/>
          <w:sz w:val="18"/>
          <w:szCs w:val="18"/>
        </w:rPr>
      </w:pPr>
      <w:r w:rsidRPr="001136A0">
        <w:rPr>
          <w:rFonts w:ascii="微软雅黑" w:eastAsia="微软雅黑" w:hAnsi="微软雅黑" w:cs="宋体" w:hint="eastAsia"/>
          <w:color w:val="515151"/>
          <w:kern w:val="0"/>
          <w:sz w:val="18"/>
          <w:szCs w:val="18"/>
        </w:rPr>
        <w:t>版权所有：中国证券监督管理委员会 京ICP备 05035542号</w:t>
      </w:r>
    </w:p>
    <w:p w:rsidR="001136A0" w:rsidRPr="001136A0" w:rsidRDefault="001136A0" w:rsidP="001136A0">
      <w:pPr>
        <w:widowControl/>
        <w:jc w:val="center"/>
        <w:rPr>
          <w:rFonts w:ascii="微软雅黑" w:eastAsia="微软雅黑" w:hAnsi="微软雅黑" w:cs="宋体" w:hint="eastAsia"/>
          <w:color w:val="515151"/>
          <w:kern w:val="0"/>
          <w:sz w:val="18"/>
          <w:szCs w:val="18"/>
        </w:rPr>
      </w:pPr>
      <w:r w:rsidRPr="001136A0">
        <w:rPr>
          <w:rFonts w:ascii="微软雅黑" w:eastAsia="微软雅黑" w:hAnsi="微软雅黑" w:cs="宋体" w:hint="eastAsia"/>
          <w:color w:val="515151"/>
          <w:kern w:val="0"/>
          <w:sz w:val="18"/>
          <w:szCs w:val="18"/>
        </w:rPr>
        <w:t>地址：北京市西城区金融大街19号富凯大厦A座 邮编：100033</w:t>
      </w:r>
    </w:p>
    <w:p w:rsidR="001136A0" w:rsidRPr="001136A0" w:rsidRDefault="001136A0" w:rsidP="001136A0">
      <w:pPr>
        <w:widowControl/>
        <w:jc w:val="center"/>
        <w:rPr>
          <w:rFonts w:ascii="微软雅黑" w:eastAsia="微软雅黑" w:hAnsi="微软雅黑" w:cs="宋体" w:hint="eastAsia"/>
          <w:color w:val="515151"/>
          <w:kern w:val="0"/>
          <w:sz w:val="18"/>
          <w:szCs w:val="18"/>
        </w:rPr>
      </w:pPr>
      <w:r w:rsidRPr="001136A0">
        <w:rPr>
          <w:rFonts w:ascii="微软雅黑" w:eastAsia="微软雅黑" w:hAnsi="微软雅黑" w:cs="宋体" w:hint="eastAsia"/>
          <w:color w:val="515151"/>
          <w:kern w:val="0"/>
          <w:sz w:val="18"/>
          <w:szCs w:val="18"/>
        </w:rPr>
        <w:t>建议使用IE5.5以上浏览器，分辨率1024*768</w:t>
      </w:r>
    </w:p>
    <w:p w:rsidR="00801F9F" w:rsidRPr="001136A0" w:rsidRDefault="00801F9F"/>
    <w:sectPr w:rsidR="00801F9F" w:rsidRPr="00113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A0"/>
    <w:rsid w:val="001136A0"/>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A1A22-3A54-4856-85C9-B64804B5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36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36A0"/>
    <w:rPr>
      <w:b/>
      <w:bCs/>
    </w:rPr>
  </w:style>
  <w:style w:type="paragraph" w:customStyle="1" w:styleId="p0">
    <w:name w:val="p0"/>
    <w:basedOn w:val="a"/>
    <w:rsid w:val="001136A0"/>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1136A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13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8622">
      <w:bodyDiv w:val="1"/>
      <w:marLeft w:val="0"/>
      <w:marRight w:val="0"/>
      <w:marTop w:val="0"/>
      <w:marBottom w:val="0"/>
      <w:divBdr>
        <w:top w:val="none" w:sz="0" w:space="0" w:color="auto"/>
        <w:left w:val="none" w:sz="0" w:space="0" w:color="auto"/>
        <w:bottom w:val="none" w:sz="0" w:space="0" w:color="auto"/>
        <w:right w:val="none" w:sz="0" w:space="0" w:color="auto"/>
      </w:divBdr>
      <w:divsChild>
        <w:div w:id="839153015">
          <w:marLeft w:val="0"/>
          <w:marRight w:val="0"/>
          <w:marTop w:val="150"/>
          <w:marBottom w:val="150"/>
          <w:divBdr>
            <w:top w:val="none" w:sz="0" w:space="0" w:color="auto"/>
            <w:left w:val="none" w:sz="0" w:space="0" w:color="auto"/>
            <w:bottom w:val="none" w:sz="0" w:space="0" w:color="auto"/>
            <w:right w:val="none" w:sz="0" w:space="0" w:color="auto"/>
          </w:divBdr>
        </w:div>
        <w:div w:id="99572120">
          <w:marLeft w:val="0"/>
          <w:marRight w:val="0"/>
          <w:marTop w:val="0"/>
          <w:marBottom w:val="0"/>
          <w:divBdr>
            <w:top w:val="single" w:sz="6" w:space="8" w:color="B5B5B5"/>
            <w:left w:val="single" w:sz="6" w:space="0" w:color="B5B5B5"/>
            <w:bottom w:val="single" w:sz="6" w:space="8" w:color="B5B5B5"/>
            <w:right w:val="single" w:sz="6" w:space="0" w:color="B5B5B5"/>
          </w:divBdr>
          <w:divsChild>
            <w:div w:id="262734306">
              <w:marLeft w:val="0"/>
              <w:marRight w:val="0"/>
              <w:marTop w:val="0"/>
              <w:marBottom w:val="0"/>
              <w:divBdr>
                <w:top w:val="none" w:sz="0" w:space="0" w:color="auto"/>
                <w:left w:val="none" w:sz="0" w:space="0" w:color="auto"/>
                <w:bottom w:val="none" w:sz="0" w:space="0" w:color="auto"/>
                <w:right w:val="none" w:sz="0" w:space="0" w:color="auto"/>
              </w:divBdr>
            </w:div>
            <w:div w:id="1260987159">
              <w:marLeft w:val="0"/>
              <w:marRight w:val="0"/>
              <w:marTop w:val="0"/>
              <w:marBottom w:val="0"/>
              <w:divBdr>
                <w:top w:val="none" w:sz="0" w:space="0" w:color="auto"/>
                <w:left w:val="none" w:sz="0" w:space="0" w:color="auto"/>
                <w:bottom w:val="none" w:sz="0" w:space="0" w:color="auto"/>
                <w:right w:val="none" w:sz="0" w:space="0" w:color="auto"/>
              </w:divBdr>
            </w:div>
            <w:div w:id="1878153192">
              <w:marLeft w:val="0"/>
              <w:marRight w:val="0"/>
              <w:marTop w:val="120"/>
              <w:marBottom w:val="120"/>
              <w:divBdr>
                <w:top w:val="none" w:sz="0" w:space="0" w:color="auto"/>
                <w:left w:val="none" w:sz="0" w:space="0" w:color="auto"/>
                <w:bottom w:val="none" w:sz="0" w:space="0" w:color="auto"/>
                <w:right w:val="none" w:sz="0" w:space="0" w:color="auto"/>
              </w:divBdr>
            </w:div>
          </w:divsChild>
        </w:div>
        <w:div w:id="1684168511">
          <w:marLeft w:val="0"/>
          <w:marRight w:val="0"/>
          <w:marTop w:val="120"/>
          <w:marBottom w:val="0"/>
          <w:divBdr>
            <w:top w:val="none" w:sz="0" w:space="0" w:color="auto"/>
            <w:left w:val="none" w:sz="0" w:space="0" w:color="auto"/>
            <w:bottom w:val="none" w:sz="0" w:space="0" w:color="auto"/>
            <w:right w:val="none" w:sz="0" w:space="0" w:color="auto"/>
          </w:divBdr>
          <w:divsChild>
            <w:div w:id="840195921">
              <w:marLeft w:val="0"/>
              <w:marRight w:val="0"/>
              <w:marTop w:val="60"/>
              <w:marBottom w:val="0"/>
              <w:divBdr>
                <w:top w:val="none" w:sz="0" w:space="0" w:color="auto"/>
                <w:left w:val="none" w:sz="0" w:space="0" w:color="auto"/>
                <w:bottom w:val="none" w:sz="0" w:space="0" w:color="auto"/>
                <w:right w:val="none" w:sz="0" w:space="0" w:color="auto"/>
              </w:divBdr>
            </w:div>
            <w:div w:id="934944690">
              <w:marLeft w:val="0"/>
              <w:marRight w:val="0"/>
              <w:marTop w:val="60"/>
              <w:marBottom w:val="0"/>
              <w:divBdr>
                <w:top w:val="none" w:sz="0" w:space="0" w:color="auto"/>
                <w:left w:val="none" w:sz="0" w:space="0" w:color="auto"/>
                <w:bottom w:val="none" w:sz="0" w:space="0" w:color="auto"/>
                <w:right w:val="none" w:sz="0" w:space="0" w:color="auto"/>
              </w:divBdr>
            </w:div>
            <w:div w:id="214662554">
              <w:marLeft w:val="0"/>
              <w:marRight w:val="0"/>
              <w:marTop w:val="60"/>
              <w:marBottom w:val="0"/>
              <w:divBdr>
                <w:top w:val="none" w:sz="0" w:space="0" w:color="auto"/>
                <w:left w:val="none" w:sz="0" w:space="0" w:color="auto"/>
                <w:bottom w:val="none" w:sz="0" w:space="0" w:color="auto"/>
                <w:right w:val="none" w:sz="0" w:space="0" w:color="auto"/>
              </w:divBdr>
            </w:div>
            <w:div w:id="5167020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31_29522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2020-02-17T14:59:00Z</dcterms:created>
  <dcterms:modified xsi:type="dcterms:W3CDTF">2020-02-17T14:59:00Z</dcterms:modified>
</cp:coreProperties>
</file>