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834" w:rsidRPr="00A21834" w:rsidRDefault="00A21834" w:rsidP="00A21834">
      <w:pPr>
        <w:widowControl/>
        <w:jc w:val="center"/>
        <w:rPr>
          <w:rFonts w:ascii="微软雅黑" w:eastAsia="微软雅黑" w:hAnsi="微软雅黑" w:cs="宋体"/>
          <w:color w:val="000000"/>
          <w:kern w:val="0"/>
          <w:sz w:val="18"/>
          <w:szCs w:val="18"/>
        </w:rPr>
      </w:pPr>
      <w:r w:rsidRPr="00A2183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21834" w:rsidRPr="00A21834" w:rsidTr="00A218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1834" w:rsidRPr="00A21834">
              <w:trPr>
                <w:tblCellSpacing w:w="0" w:type="dxa"/>
              </w:trPr>
              <w:tc>
                <w:tcPr>
                  <w:tcW w:w="2500" w:type="pct"/>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hint="eastAsia"/>
                      <w:color w:val="686868"/>
                      <w:kern w:val="0"/>
                      <w:sz w:val="18"/>
                      <w:szCs w:val="18"/>
                    </w:rPr>
                  </w:pPr>
                  <w:r w:rsidRPr="00A21834">
                    <w:rPr>
                      <w:rFonts w:ascii="宋体" w:eastAsia="宋体" w:hAnsi="宋体" w:cs="宋体"/>
                      <w:b/>
                      <w:bCs/>
                      <w:color w:val="686868"/>
                      <w:kern w:val="0"/>
                      <w:sz w:val="18"/>
                      <w:szCs w:val="18"/>
                    </w:rPr>
                    <w:t>索 引 号:</w:t>
                  </w:r>
                  <w:r w:rsidRPr="00A2183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分类:</w:t>
                  </w:r>
                  <w:r w:rsidRPr="00A21834">
                    <w:rPr>
                      <w:rFonts w:ascii="宋体" w:eastAsia="宋体" w:hAnsi="宋体" w:cs="宋体"/>
                      <w:color w:val="686868"/>
                      <w:kern w:val="0"/>
                      <w:sz w:val="18"/>
                      <w:szCs w:val="18"/>
                    </w:rPr>
                    <w:t> 行政处罚 ; 行政处罚决定</w:t>
                  </w:r>
                </w:p>
              </w:tc>
            </w:tr>
          </w:tbl>
          <w:p w:rsidR="00A21834" w:rsidRPr="00A21834" w:rsidRDefault="00A21834" w:rsidP="00A21834">
            <w:pPr>
              <w:widowControl/>
              <w:jc w:val="left"/>
              <w:rPr>
                <w:rFonts w:ascii="宋体" w:eastAsia="宋体" w:hAnsi="宋体" w:cs="宋体"/>
                <w:color w:val="686868"/>
                <w:kern w:val="0"/>
                <w:sz w:val="18"/>
                <w:szCs w:val="18"/>
              </w:rPr>
            </w:pPr>
          </w:p>
        </w:tc>
      </w:tr>
      <w:tr w:rsidR="00A21834" w:rsidRPr="00A21834" w:rsidTr="00A218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1834" w:rsidRPr="00A21834">
              <w:trPr>
                <w:tblCellSpacing w:w="0" w:type="dxa"/>
              </w:trPr>
              <w:tc>
                <w:tcPr>
                  <w:tcW w:w="2500" w:type="pct"/>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发布机构:</w:t>
                  </w:r>
                  <w:r w:rsidRPr="00A2183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发文日期:</w:t>
                  </w:r>
                  <w:r w:rsidRPr="00A21834">
                    <w:rPr>
                      <w:rFonts w:ascii="宋体" w:eastAsia="宋体" w:hAnsi="宋体" w:cs="宋体"/>
                      <w:color w:val="686868"/>
                      <w:kern w:val="0"/>
                      <w:sz w:val="18"/>
                      <w:szCs w:val="18"/>
                    </w:rPr>
                    <w:t> 2016年04月18日</w:t>
                  </w:r>
                </w:p>
              </w:tc>
            </w:tr>
          </w:tbl>
          <w:p w:rsidR="00A21834" w:rsidRPr="00A21834" w:rsidRDefault="00A21834" w:rsidP="00A21834">
            <w:pPr>
              <w:widowControl/>
              <w:jc w:val="left"/>
              <w:rPr>
                <w:rFonts w:ascii="宋体" w:eastAsia="宋体" w:hAnsi="宋体" w:cs="宋体"/>
                <w:color w:val="686868"/>
                <w:kern w:val="0"/>
                <w:sz w:val="18"/>
                <w:szCs w:val="18"/>
              </w:rPr>
            </w:pPr>
          </w:p>
        </w:tc>
      </w:tr>
      <w:tr w:rsidR="00A21834" w:rsidRPr="00A21834" w:rsidTr="00A21834">
        <w:trPr>
          <w:tblCellSpacing w:w="0" w:type="dxa"/>
          <w:jc w:val="center"/>
        </w:trPr>
        <w:tc>
          <w:tcPr>
            <w:tcW w:w="0" w:type="auto"/>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名　　称:</w:t>
            </w:r>
            <w:r w:rsidRPr="00A21834">
              <w:rPr>
                <w:rFonts w:ascii="宋体" w:eastAsia="宋体" w:hAnsi="宋体" w:cs="宋体"/>
                <w:color w:val="686868"/>
                <w:kern w:val="0"/>
                <w:sz w:val="18"/>
                <w:szCs w:val="18"/>
              </w:rPr>
              <w:t> 中国证监会行政处罚决定书（杨剑波）</w:t>
            </w:r>
          </w:p>
        </w:tc>
      </w:tr>
      <w:tr w:rsidR="00A21834" w:rsidRPr="00A21834" w:rsidTr="00A2183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1834" w:rsidRPr="00A21834">
              <w:trPr>
                <w:tblCellSpacing w:w="0" w:type="dxa"/>
              </w:trPr>
              <w:tc>
                <w:tcPr>
                  <w:tcW w:w="2500" w:type="pct"/>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文　　号:</w:t>
                  </w:r>
                  <w:r w:rsidRPr="00A21834">
                    <w:rPr>
                      <w:rFonts w:ascii="宋体" w:eastAsia="宋体" w:hAnsi="宋体" w:cs="宋体"/>
                      <w:color w:val="686868"/>
                      <w:kern w:val="0"/>
                      <w:sz w:val="18"/>
                      <w:szCs w:val="18"/>
                    </w:rPr>
                    <w:t> </w:t>
                  </w:r>
                  <w:bookmarkStart w:id="0" w:name="_GoBack"/>
                  <w:r w:rsidRPr="00A21834">
                    <w:rPr>
                      <w:rFonts w:ascii="宋体" w:eastAsia="宋体" w:hAnsi="宋体" w:cs="宋体"/>
                      <w:color w:val="686868"/>
                      <w:kern w:val="0"/>
                      <w:sz w:val="18"/>
                      <w:szCs w:val="18"/>
                    </w:rPr>
                    <w:t>〔2016〕37号</w:t>
                  </w:r>
                  <w:bookmarkEnd w:id="0"/>
                </w:p>
              </w:tc>
              <w:tc>
                <w:tcPr>
                  <w:tcW w:w="0" w:type="auto"/>
                  <w:tcMar>
                    <w:top w:w="30" w:type="dxa"/>
                    <w:left w:w="30" w:type="dxa"/>
                    <w:bottom w:w="30" w:type="dxa"/>
                    <w:right w:w="30" w:type="dxa"/>
                  </w:tcMar>
                  <w:hideMark/>
                </w:tcPr>
                <w:p w:rsidR="00A21834" w:rsidRPr="00A21834" w:rsidRDefault="00A21834" w:rsidP="00A21834">
                  <w:pPr>
                    <w:widowControl/>
                    <w:jc w:val="left"/>
                    <w:rPr>
                      <w:rFonts w:ascii="宋体" w:eastAsia="宋体" w:hAnsi="宋体" w:cs="宋体"/>
                      <w:color w:val="686868"/>
                      <w:kern w:val="0"/>
                      <w:sz w:val="18"/>
                      <w:szCs w:val="18"/>
                    </w:rPr>
                  </w:pPr>
                  <w:r w:rsidRPr="00A21834">
                    <w:rPr>
                      <w:rFonts w:ascii="宋体" w:eastAsia="宋体" w:hAnsi="宋体" w:cs="宋体"/>
                      <w:b/>
                      <w:bCs/>
                      <w:color w:val="686868"/>
                      <w:kern w:val="0"/>
                      <w:sz w:val="18"/>
                      <w:szCs w:val="18"/>
                    </w:rPr>
                    <w:t>主 题 词:</w:t>
                  </w:r>
                </w:p>
              </w:tc>
            </w:tr>
          </w:tbl>
          <w:p w:rsidR="00A21834" w:rsidRPr="00A21834" w:rsidRDefault="00A21834" w:rsidP="00A21834">
            <w:pPr>
              <w:widowControl/>
              <w:jc w:val="left"/>
              <w:rPr>
                <w:rFonts w:ascii="宋体" w:eastAsia="宋体" w:hAnsi="宋体" w:cs="宋体"/>
                <w:color w:val="686868"/>
                <w:kern w:val="0"/>
                <w:sz w:val="18"/>
                <w:szCs w:val="18"/>
              </w:rPr>
            </w:pPr>
          </w:p>
        </w:tc>
      </w:tr>
    </w:tbl>
    <w:p w:rsidR="00A21834" w:rsidRPr="00A21834" w:rsidRDefault="00A21834" w:rsidP="00A21834">
      <w:pPr>
        <w:widowControl/>
        <w:jc w:val="center"/>
        <w:rPr>
          <w:rFonts w:ascii="微软雅黑" w:eastAsia="微软雅黑" w:hAnsi="微软雅黑" w:cs="宋体"/>
          <w:color w:val="000000"/>
          <w:kern w:val="0"/>
          <w:sz w:val="18"/>
          <w:szCs w:val="18"/>
        </w:rPr>
      </w:pPr>
      <w:r w:rsidRPr="00A2183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21834" w:rsidRPr="00A21834" w:rsidRDefault="00A21834" w:rsidP="00A21834">
      <w:pPr>
        <w:widowControl/>
        <w:shd w:val="clear" w:color="auto" w:fill="FFFFFF"/>
        <w:spacing w:after="240"/>
        <w:jc w:val="center"/>
        <w:rPr>
          <w:rFonts w:ascii="微软雅黑" w:eastAsia="微软雅黑" w:hAnsi="微软雅黑" w:cs="宋体" w:hint="eastAsia"/>
          <w:color w:val="000000"/>
          <w:kern w:val="0"/>
          <w:sz w:val="18"/>
          <w:szCs w:val="18"/>
        </w:rPr>
      </w:pPr>
      <w:r w:rsidRPr="00A21834">
        <w:rPr>
          <w:rFonts w:ascii="微软雅黑" w:eastAsia="微软雅黑" w:hAnsi="微软雅黑" w:cs="宋体" w:hint="eastAsia"/>
          <w:color w:val="000000"/>
          <w:kern w:val="0"/>
          <w:sz w:val="18"/>
          <w:szCs w:val="18"/>
        </w:rPr>
        <w:br/>
      </w:r>
      <w:r w:rsidRPr="00A21834">
        <w:rPr>
          <w:rFonts w:ascii="黑体" w:eastAsia="黑体" w:hAnsi="黑体" w:cs="宋体" w:hint="eastAsia"/>
          <w:b/>
          <w:bCs/>
          <w:color w:val="FF0000"/>
          <w:kern w:val="0"/>
          <w:sz w:val="36"/>
          <w:szCs w:val="36"/>
        </w:rPr>
        <w:t>中国证监会行政处罚决定书（杨剑波）</w:t>
      </w:r>
    </w:p>
    <w:p w:rsidR="00A21834" w:rsidRPr="00A21834" w:rsidRDefault="00A21834" w:rsidP="00A21834">
      <w:pPr>
        <w:widowControl/>
        <w:shd w:val="clear" w:color="auto" w:fill="FFFFFF"/>
        <w:spacing w:line="360" w:lineRule="atLeast"/>
        <w:jc w:val="center"/>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〔2016〕37号</w:t>
      </w:r>
    </w:p>
    <w:p w:rsidR="00A21834" w:rsidRPr="00A21834" w:rsidRDefault="00A21834" w:rsidP="00A21834">
      <w:pPr>
        <w:widowControl/>
        <w:shd w:val="clear" w:color="auto" w:fill="FFFFFF"/>
        <w:spacing w:line="360" w:lineRule="atLeast"/>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当事人：杨剑波，男，1958年3月出生，住址：安徽省合肥市庐阳区。</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依据《中华人民共和国证券法》（以下简称《证券法》）的有关规定，我会依法对杨剑波内幕交易安徽国通高新管业股份有限公司（以下简称ST国通）股票行为进行了立案调查、审理，并依法向当事人告知了</w:t>
      </w:r>
      <w:proofErr w:type="gramStart"/>
      <w:r w:rsidRPr="00A21834">
        <w:rPr>
          <w:rFonts w:ascii="宋体" w:eastAsia="宋体" w:hAnsi="宋体" w:cs="宋体" w:hint="eastAsia"/>
          <w:color w:val="000000"/>
          <w:kern w:val="0"/>
          <w:szCs w:val="21"/>
        </w:rPr>
        <w:t>作出</w:t>
      </w:r>
      <w:proofErr w:type="gramEnd"/>
      <w:r w:rsidRPr="00A21834">
        <w:rPr>
          <w:rFonts w:ascii="宋体" w:eastAsia="宋体" w:hAnsi="宋体" w:cs="宋体" w:hint="eastAsia"/>
          <w:color w:val="000000"/>
          <w:kern w:val="0"/>
          <w:szCs w:val="21"/>
        </w:rPr>
        <w:t>行政处罚的事实、理由、依据及当事人依法享有的权利，当事人杨剑波提交了陈述、申辩意见，未要求听证。本案现已调查、审理终结。</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经查明，当事人杨剑波存在以下违法事实：</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一、内幕信息及其形成过程</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2012年3月1日，合肥通用机械研究院（以下简称通机院）副院长许某等三人同安徽国风集团有限公司（系ST国通大股东，以下简称国风集团）董事长赵某武、ST国通董事长钱某进行接触，就</w:t>
      </w:r>
      <w:proofErr w:type="gramStart"/>
      <w:r w:rsidRPr="00A21834">
        <w:rPr>
          <w:rFonts w:ascii="宋体" w:eastAsia="宋体" w:hAnsi="宋体" w:cs="宋体" w:hint="eastAsia"/>
          <w:color w:val="000000"/>
          <w:kern w:val="0"/>
          <w:szCs w:val="21"/>
        </w:rPr>
        <w:t>通机院重组</w:t>
      </w:r>
      <w:proofErr w:type="gramEnd"/>
      <w:r w:rsidRPr="00A21834">
        <w:rPr>
          <w:rFonts w:ascii="宋体" w:eastAsia="宋体" w:hAnsi="宋体" w:cs="宋体" w:hint="eastAsia"/>
          <w:color w:val="000000"/>
          <w:kern w:val="0"/>
          <w:szCs w:val="21"/>
        </w:rPr>
        <w:t>ST国通一事达成一致，见面后许某向</w:t>
      </w:r>
      <w:proofErr w:type="gramStart"/>
      <w:r w:rsidRPr="00A21834">
        <w:rPr>
          <w:rFonts w:ascii="宋体" w:eastAsia="宋体" w:hAnsi="宋体" w:cs="宋体" w:hint="eastAsia"/>
          <w:color w:val="000000"/>
          <w:kern w:val="0"/>
          <w:szCs w:val="21"/>
        </w:rPr>
        <w:t>通机院院长</w:t>
      </w:r>
      <w:proofErr w:type="gramEnd"/>
      <w:r w:rsidRPr="00A21834">
        <w:rPr>
          <w:rFonts w:ascii="宋体" w:eastAsia="宋体" w:hAnsi="宋体" w:cs="宋体" w:hint="eastAsia"/>
          <w:color w:val="000000"/>
          <w:kern w:val="0"/>
          <w:szCs w:val="21"/>
        </w:rPr>
        <w:t>陈某东汇报了与国风集团的沟通情况，陈某东表示“ST国通”应尽快停牌。3月3日至11日，</w:t>
      </w:r>
      <w:proofErr w:type="gramStart"/>
      <w:r w:rsidRPr="00A21834">
        <w:rPr>
          <w:rFonts w:ascii="宋体" w:eastAsia="宋体" w:hAnsi="宋体" w:cs="宋体" w:hint="eastAsia"/>
          <w:color w:val="000000"/>
          <w:kern w:val="0"/>
          <w:szCs w:val="21"/>
        </w:rPr>
        <w:t>通机院与</w:t>
      </w:r>
      <w:proofErr w:type="gramEnd"/>
      <w:r w:rsidRPr="00A21834">
        <w:rPr>
          <w:rFonts w:ascii="宋体" w:eastAsia="宋体" w:hAnsi="宋体" w:cs="宋体" w:hint="eastAsia"/>
          <w:color w:val="000000"/>
          <w:kern w:val="0"/>
          <w:szCs w:val="21"/>
        </w:rPr>
        <w:t>中介机构一起推进重组的相关工作。3月12日，</w:t>
      </w:r>
      <w:proofErr w:type="gramStart"/>
      <w:r w:rsidRPr="00A21834">
        <w:rPr>
          <w:rFonts w:ascii="宋体" w:eastAsia="宋体" w:hAnsi="宋体" w:cs="宋体" w:hint="eastAsia"/>
          <w:color w:val="000000"/>
          <w:kern w:val="0"/>
          <w:szCs w:val="21"/>
        </w:rPr>
        <w:t>通机院召开</w:t>
      </w:r>
      <w:proofErr w:type="gramEnd"/>
      <w:r w:rsidRPr="00A21834">
        <w:rPr>
          <w:rFonts w:ascii="宋体" w:eastAsia="宋体" w:hAnsi="宋体" w:cs="宋体" w:hint="eastAsia"/>
          <w:color w:val="000000"/>
          <w:kern w:val="0"/>
          <w:szCs w:val="21"/>
        </w:rPr>
        <w:t>院务会，要求加快推进重组工作。3月16日，合肥市国资委召开正式决策会并于下午交易时间结束后正式通知ST国通停牌。3月19日，“ST国通”临时停牌一天。3月20日，ST国通发布《关于重大资产重组及股权变更事宜停牌公告》并开始连续停牌。</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A21834">
        <w:rPr>
          <w:rFonts w:ascii="宋体" w:eastAsia="宋体" w:hAnsi="宋体" w:cs="宋体" w:hint="eastAsia"/>
          <w:color w:val="000000"/>
          <w:kern w:val="0"/>
          <w:szCs w:val="21"/>
        </w:rPr>
        <w:t>通机院重组</w:t>
      </w:r>
      <w:proofErr w:type="gramEnd"/>
      <w:r w:rsidRPr="00A21834">
        <w:rPr>
          <w:rFonts w:ascii="宋体" w:eastAsia="宋体" w:hAnsi="宋体" w:cs="宋体" w:hint="eastAsia"/>
          <w:color w:val="000000"/>
          <w:kern w:val="0"/>
          <w:szCs w:val="21"/>
        </w:rPr>
        <w:t>ST国通涉及上市公司股权的重大变化，属于《证券法》第七十五条第二款第（三）项规定的“公司股权结构的重大变化”，为内幕信息。内幕信息敏感期为2012年3月1日至3月19日。陈某东作为</w:t>
      </w:r>
      <w:proofErr w:type="gramStart"/>
      <w:r w:rsidRPr="00A21834">
        <w:rPr>
          <w:rFonts w:ascii="宋体" w:eastAsia="宋体" w:hAnsi="宋体" w:cs="宋体" w:hint="eastAsia"/>
          <w:color w:val="000000"/>
          <w:kern w:val="0"/>
          <w:szCs w:val="21"/>
        </w:rPr>
        <w:t>通机院院长</w:t>
      </w:r>
      <w:proofErr w:type="gramEnd"/>
      <w:r w:rsidRPr="00A21834">
        <w:rPr>
          <w:rFonts w:ascii="宋体" w:eastAsia="宋体" w:hAnsi="宋体" w:cs="宋体" w:hint="eastAsia"/>
          <w:color w:val="000000"/>
          <w:kern w:val="0"/>
          <w:szCs w:val="21"/>
        </w:rPr>
        <w:t>，主导并指派单位人员推进重组ST国通事项，是内幕信息知情人。</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二、杨剑波内幕交易“ST国通”的相关事实</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根据当事人询问笔录，杨剑波是“杨剑波”、“刘某（杨剑波配偶）”、“杨某启（杨剑波儿子）”和“刘某树（杨剑波岳父）”4个账户的实际操作人。上述4个账户中仅有一笔304,000元的资金来源于刘某银行账户，其余资金均来源于杨剑波银行账户。</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lastRenderedPageBreak/>
        <w:t>杨剑波与陈某东相识已久，彼此很熟悉。2012年1月杨剑波与陈某东通话和短信联系7次、2月份7次、3月份16次、4月份12次。2012年3月1日至3月19日期间（即内幕信息敏感期内），杨剑波与陈某东联系多达13次，同时杨剑波控制的“杨剑波”、“刘某”、“杨某启”和“刘某树”账户分7次买入“ST国通”。在杨剑波控制的4个账户买入“ST国通”当日，杨剑波与陈某东均有联系。</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杨剑波与内幕信息知情人陈某东在内幕信息敏感期内联络密切，且联络时间与杨剑波控制的4个账户交易“ST国通”的时间高度吻合，杨剑波控制4个账户于内幕信息公开后卖出“ST国通”。具体交易情况如下：</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2012年3月6日9:18－10:30，“杨剑波”账户买入“ST国通”135,000股，交易金额1,226,800.00元，后于2012年7月11至17日全部卖出，交易亏损18,329.93元。</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2012年3月7日9:42－10:08，“刘某”账户买入“ST国通”65,400股；2012年3月8日9:31，“刘某”账户买入“ST国通”30,000股；2012年3月9日10:08－10:12，“刘某”账户买入“ST国通”60,000股。以上3次交易合计买入155,400股，交易金额1,459,474.00元。2012年7月2日、9月13日至18日全部卖出，交易亏损78,191.64元。</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2012年3月13日14:17－15:01，“刘某树”账户买入“ST国通”50,600股；2012年3月14日9:31－9:44，“刘某树”账户买入“ST国通”21,000股。以上2次交易合计买入71,600股，交易金额697,726.00元。2012年8月9日至9月11日全部卖出，交易亏损74,479.76元。</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2012年3月14日9:38－10:05，“杨某启”账户买入“ST国通”56,200股，交易金额548,821.00元，后于2012年7月23日至8月7日全部卖出，交易亏损99,978.27元。</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内幕信息敏感期内，“杨剑波”、“刘某”、“杨某启”和“刘某树”4个账户交易“ST国通”的时间与杨剑波同内幕信息知情人陈某东联络的时间高度吻合，也与涉案内幕信息形成、变化时间基本一致，存在明显异常。杨剑波控制上述4个账户在内幕信息敏感期内合计买入“ST国通”418,200股，交易金额3,932,821.00元，并于内幕信息公开后全部卖出，交易亏损270,979.60元。</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上述事实，有相关公告、情况说明、账户开户资料、交易流水、通讯记录、当事人询问笔录等证据证明，足以认定。</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杨剑波提出如下申辩意见：其一，其于内幕信息敏感期前已关注“ST国通”并收藏至自选股。其二，其买入“ST国通”是基于股</w:t>
      </w:r>
      <w:proofErr w:type="gramStart"/>
      <w:r w:rsidRPr="00A21834">
        <w:rPr>
          <w:rFonts w:ascii="宋体" w:eastAsia="宋体" w:hAnsi="宋体" w:cs="宋体" w:hint="eastAsia"/>
          <w:color w:val="000000"/>
          <w:kern w:val="0"/>
          <w:szCs w:val="21"/>
        </w:rPr>
        <w:t>吧文章</w:t>
      </w:r>
      <w:proofErr w:type="gramEnd"/>
      <w:r w:rsidRPr="00A21834">
        <w:rPr>
          <w:rFonts w:ascii="宋体" w:eastAsia="宋体" w:hAnsi="宋体" w:cs="宋体" w:hint="eastAsia"/>
          <w:color w:val="000000"/>
          <w:kern w:val="0"/>
          <w:szCs w:val="21"/>
        </w:rPr>
        <w:t>等网络公开信息，是正常交易行为。其三，推论其内幕交易的理由缺乏法律依据，且不合理。其与内幕信息知情人陈某东联络较多是因为工作关系，若要打探内幕信息联系一次就够，没必要频繁联系。其四，公安部门因没有证据证明其犯罪事实，现已撤案，相同事实不应得出两个不同结论。</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我会认为杨剑波的申辩理由不能成立：其一，杨剑波在内幕信息敏感期前是否关注、收藏“ST国通”至自选股，不改变其在内幕信息敏感期内异常交易该股票的事实，与我会认定涉案违法行为无直接关系。其二，杨剑波关于其本人是否因股</w:t>
      </w:r>
      <w:proofErr w:type="gramStart"/>
      <w:r w:rsidRPr="00A21834">
        <w:rPr>
          <w:rFonts w:ascii="宋体" w:eastAsia="宋体" w:hAnsi="宋体" w:cs="宋体" w:hint="eastAsia"/>
          <w:color w:val="000000"/>
          <w:kern w:val="0"/>
          <w:szCs w:val="21"/>
        </w:rPr>
        <w:t>吧文章</w:t>
      </w:r>
      <w:proofErr w:type="gramEnd"/>
      <w:r w:rsidRPr="00A21834">
        <w:rPr>
          <w:rFonts w:ascii="宋体" w:eastAsia="宋体" w:hAnsi="宋体" w:cs="宋体" w:hint="eastAsia"/>
          <w:color w:val="000000"/>
          <w:kern w:val="0"/>
          <w:szCs w:val="21"/>
        </w:rPr>
        <w:t>等公开信息而买入“ST国通”的说法前后不一。杨剑波本人也未提供其买入股票前</w:t>
      </w:r>
      <w:proofErr w:type="gramStart"/>
      <w:r w:rsidRPr="00A21834">
        <w:rPr>
          <w:rFonts w:ascii="宋体" w:eastAsia="宋体" w:hAnsi="宋体" w:cs="宋体" w:hint="eastAsia"/>
          <w:color w:val="000000"/>
          <w:kern w:val="0"/>
          <w:szCs w:val="21"/>
        </w:rPr>
        <w:t>浏览股吧文章</w:t>
      </w:r>
      <w:proofErr w:type="gramEnd"/>
      <w:r w:rsidRPr="00A21834">
        <w:rPr>
          <w:rFonts w:ascii="宋体" w:eastAsia="宋体" w:hAnsi="宋体" w:cs="宋体" w:hint="eastAsia"/>
          <w:color w:val="000000"/>
          <w:kern w:val="0"/>
          <w:szCs w:val="21"/>
        </w:rPr>
        <w:t>等信息的相关证据。其三，杨剑波与内幕信息知情人陈某东相识多年，关系很好，经常一起吃饭，</w:t>
      </w:r>
      <w:r w:rsidRPr="00A21834">
        <w:rPr>
          <w:rFonts w:ascii="宋体" w:eastAsia="宋体" w:hAnsi="宋体" w:cs="宋体" w:hint="eastAsia"/>
          <w:color w:val="000000"/>
          <w:kern w:val="0"/>
          <w:szCs w:val="21"/>
        </w:rPr>
        <w:lastRenderedPageBreak/>
        <w:t>且在内幕信息敏感期内频繁联系。其四，杨剑波控制的4个账户的资金划转时间、买入股票时间，同其与陈某东的联络时间、以及内幕信息的形成、变化时间基本一致。其五，杨剑波集中资金买入“ST国通”的行为同其以往多数投资于银行理财产品及申购新股的交易习惯不同，其交易“ST国通”的行为明显异常。其六，司法机关对杨剑波的处理方式，并不影响我会基于已经查明的事实、理由和依据，对杨剑波</w:t>
      </w:r>
      <w:proofErr w:type="gramStart"/>
      <w:r w:rsidRPr="00A21834">
        <w:rPr>
          <w:rFonts w:ascii="宋体" w:eastAsia="宋体" w:hAnsi="宋体" w:cs="宋体" w:hint="eastAsia"/>
          <w:color w:val="000000"/>
          <w:kern w:val="0"/>
          <w:szCs w:val="21"/>
        </w:rPr>
        <w:t>作出</w:t>
      </w:r>
      <w:proofErr w:type="gramEnd"/>
      <w:r w:rsidRPr="00A21834">
        <w:rPr>
          <w:rFonts w:ascii="宋体" w:eastAsia="宋体" w:hAnsi="宋体" w:cs="宋体" w:hint="eastAsia"/>
          <w:color w:val="000000"/>
          <w:kern w:val="0"/>
          <w:szCs w:val="21"/>
        </w:rPr>
        <w:t>相应的行政处罚。</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杨剑波的行为违反了《证券法》第七十三条和第七十六条第一款的规定，构成《证券法》第二百零二条所述违法行为。</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根据当事人违法行为的事实、性质、情节与社会危害程度，依据《证券法》第二百零二条的规定，我会决定：对杨剑波处以30万元的罚款。</w:t>
      </w:r>
    </w:p>
    <w:p w:rsidR="00A21834" w:rsidRPr="00A21834" w:rsidRDefault="00A21834" w:rsidP="00A2183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A21834" w:rsidRPr="00A21834" w:rsidRDefault="00A21834" w:rsidP="00A21834">
      <w:pPr>
        <w:widowControl/>
        <w:shd w:val="clear" w:color="auto" w:fill="FFFFFF"/>
        <w:spacing w:line="360" w:lineRule="atLeast"/>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spacing w:line="360" w:lineRule="atLeast"/>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spacing w:line="360" w:lineRule="atLeast"/>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spacing w:line="360" w:lineRule="atLeast"/>
        <w:jc w:val="lef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中国证监会</w:t>
      </w:r>
      <w:proofErr w:type="gramStart"/>
      <w:r w:rsidRPr="00A21834">
        <w:rPr>
          <w:rFonts w:ascii="宋体" w:eastAsia="宋体" w:hAnsi="宋体" w:cs="宋体" w:hint="eastAsia"/>
          <w:color w:val="000000"/>
          <w:kern w:val="0"/>
          <w:szCs w:val="21"/>
        </w:rPr>
        <w:t xml:space="preserve">　　　　　</w:t>
      </w:r>
      <w:proofErr w:type="gramEnd"/>
      <w:r w:rsidRPr="00A21834">
        <w:rPr>
          <w:rFonts w:ascii="宋体" w:eastAsia="宋体" w:hAnsi="宋体" w:cs="宋体" w:hint="eastAsia"/>
          <w:color w:val="000000"/>
          <w:kern w:val="0"/>
          <w:szCs w:val="21"/>
        </w:rPr>
        <w:t> </w:t>
      </w:r>
    </w:p>
    <w:p w:rsidR="00A21834" w:rsidRPr="00A21834" w:rsidRDefault="00A21834" w:rsidP="00A218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21834">
        <w:rPr>
          <w:rFonts w:ascii="宋体" w:eastAsia="宋体" w:hAnsi="宋体" w:cs="宋体" w:hint="eastAsia"/>
          <w:color w:val="000000"/>
          <w:kern w:val="0"/>
          <w:szCs w:val="21"/>
        </w:rPr>
        <w:t xml:space="preserve">2016年4月18日　　</w:t>
      </w:r>
      <w:proofErr w:type="gramStart"/>
      <w:r w:rsidRPr="00A21834">
        <w:rPr>
          <w:rFonts w:ascii="宋体" w:eastAsia="宋体" w:hAnsi="宋体" w:cs="宋体" w:hint="eastAsia"/>
          <w:color w:val="000000"/>
          <w:kern w:val="0"/>
          <w:szCs w:val="21"/>
        </w:rPr>
        <w:t xml:space="preserve">　　</w:t>
      </w:r>
      <w:proofErr w:type="gramEnd"/>
    </w:p>
    <w:p w:rsidR="00A21834" w:rsidRPr="00A21834" w:rsidRDefault="00A21834" w:rsidP="00A2183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21834" w:rsidRPr="00A21834" w:rsidTr="00A21834">
        <w:trPr>
          <w:tblCellSpacing w:w="15" w:type="dxa"/>
          <w:jc w:val="center"/>
        </w:trPr>
        <w:tc>
          <w:tcPr>
            <w:tcW w:w="900" w:type="dxa"/>
            <w:vAlign w:val="center"/>
            <w:hideMark/>
          </w:tcPr>
          <w:p w:rsidR="00A21834" w:rsidRPr="00A21834" w:rsidRDefault="00A21834" w:rsidP="00A21834">
            <w:pPr>
              <w:widowControl/>
              <w:jc w:val="left"/>
              <w:rPr>
                <w:rFonts w:ascii="宋体" w:eastAsia="宋体" w:hAnsi="宋体" w:cs="宋体" w:hint="eastAsia"/>
                <w:kern w:val="0"/>
                <w:sz w:val="18"/>
                <w:szCs w:val="18"/>
              </w:rPr>
            </w:pPr>
            <w:r w:rsidRPr="00A21834">
              <w:rPr>
                <w:rFonts w:ascii="宋体" w:eastAsia="宋体" w:hAnsi="宋体" w:cs="宋体"/>
                <w:kern w:val="0"/>
                <w:sz w:val="18"/>
                <w:szCs w:val="18"/>
              </w:rPr>
              <w:t> </w:t>
            </w:r>
          </w:p>
        </w:tc>
        <w:tc>
          <w:tcPr>
            <w:tcW w:w="1200" w:type="dxa"/>
            <w:vAlign w:val="center"/>
            <w:hideMark/>
          </w:tcPr>
          <w:p w:rsidR="00A21834" w:rsidRPr="00A21834" w:rsidRDefault="00A21834" w:rsidP="00A21834">
            <w:pPr>
              <w:widowControl/>
              <w:jc w:val="left"/>
              <w:rPr>
                <w:rFonts w:ascii="宋体" w:eastAsia="宋体" w:hAnsi="宋体" w:cs="宋体"/>
                <w:kern w:val="0"/>
                <w:sz w:val="18"/>
                <w:szCs w:val="18"/>
              </w:rPr>
            </w:pPr>
            <w:r w:rsidRPr="00A2183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21834" w:rsidRPr="00A21834" w:rsidRDefault="00A21834" w:rsidP="00A21834">
            <w:pPr>
              <w:widowControl/>
              <w:jc w:val="left"/>
              <w:rPr>
                <w:rFonts w:ascii="宋体" w:eastAsia="宋体" w:hAnsi="宋体" w:cs="宋体"/>
                <w:kern w:val="0"/>
                <w:sz w:val="18"/>
                <w:szCs w:val="18"/>
              </w:rPr>
            </w:pPr>
            <w:r w:rsidRPr="00A2183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21834" w:rsidRPr="00A21834" w:rsidRDefault="00A21834" w:rsidP="00A21834">
            <w:pPr>
              <w:widowControl/>
              <w:jc w:val="left"/>
              <w:rPr>
                <w:rFonts w:ascii="宋体" w:eastAsia="宋体" w:hAnsi="宋体" w:cs="宋体"/>
                <w:kern w:val="0"/>
                <w:sz w:val="18"/>
                <w:szCs w:val="18"/>
              </w:rPr>
            </w:pPr>
            <w:r w:rsidRPr="00A2183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21834" w:rsidRPr="00A21834" w:rsidRDefault="00A21834" w:rsidP="00A21834">
      <w:pPr>
        <w:widowControl/>
        <w:jc w:val="center"/>
        <w:rPr>
          <w:rFonts w:ascii="微软雅黑" w:eastAsia="微软雅黑" w:hAnsi="微软雅黑" w:cs="宋体"/>
          <w:color w:val="515151"/>
          <w:kern w:val="0"/>
          <w:sz w:val="18"/>
          <w:szCs w:val="18"/>
        </w:rPr>
      </w:pPr>
      <w:hyperlink r:id="rId11" w:tgtFrame="_blank" w:history="1">
        <w:r w:rsidRPr="00A21834">
          <w:rPr>
            <w:rFonts w:ascii="微软雅黑" w:eastAsia="微软雅黑" w:hAnsi="微软雅黑" w:cs="宋体" w:hint="eastAsia"/>
            <w:color w:val="0000FF"/>
            <w:kern w:val="0"/>
            <w:sz w:val="18"/>
            <w:szCs w:val="18"/>
            <w:u w:val="single"/>
          </w:rPr>
          <w:t>关于我们</w:t>
        </w:r>
      </w:hyperlink>
      <w:r w:rsidRPr="00A21834">
        <w:rPr>
          <w:rFonts w:ascii="微软雅黑" w:eastAsia="微软雅黑" w:hAnsi="微软雅黑" w:cs="宋体" w:hint="eastAsia"/>
          <w:color w:val="515151"/>
          <w:kern w:val="0"/>
          <w:sz w:val="18"/>
          <w:szCs w:val="18"/>
        </w:rPr>
        <w:t> - </w:t>
      </w:r>
      <w:hyperlink r:id="rId12" w:tgtFrame="_blank" w:history="1">
        <w:r w:rsidRPr="00A21834">
          <w:rPr>
            <w:rFonts w:ascii="微软雅黑" w:eastAsia="微软雅黑" w:hAnsi="微软雅黑" w:cs="宋体" w:hint="eastAsia"/>
            <w:color w:val="0000FF"/>
            <w:kern w:val="0"/>
            <w:sz w:val="18"/>
            <w:szCs w:val="18"/>
            <w:u w:val="single"/>
          </w:rPr>
          <w:t>法律声明</w:t>
        </w:r>
      </w:hyperlink>
      <w:r w:rsidRPr="00A21834">
        <w:rPr>
          <w:rFonts w:ascii="微软雅黑" w:eastAsia="微软雅黑" w:hAnsi="微软雅黑" w:cs="宋体" w:hint="eastAsia"/>
          <w:color w:val="515151"/>
          <w:kern w:val="0"/>
          <w:sz w:val="18"/>
          <w:szCs w:val="18"/>
        </w:rPr>
        <w:t> - </w:t>
      </w:r>
      <w:hyperlink r:id="rId13" w:tgtFrame="_blank" w:history="1">
        <w:r w:rsidRPr="00A21834">
          <w:rPr>
            <w:rFonts w:ascii="微软雅黑" w:eastAsia="微软雅黑" w:hAnsi="微软雅黑" w:cs="宋体" w:hint="eastAsia"/>
            <w:color w:val="0000FF"/>
            <w:kern w:val="0"/>
            <w:sz w:val="18"/>
            <w:szCs w:val="18"/>
            <w:u w:val="single"/>
          </w:rPr>
          <w:t>联系我们</w:t>
        </w:r>
      </w:hyperlink>
    </w:p>
    <w:p w:rsidR="00A21834" w:rsidRPr="00A21834" w:rsidRDefault="00A21834" w:rsidP="00A21834">
      <w:pPr>
        <w:widowControl/>
        <w:jc w:val="center"/>
        <w:rPr>
          <w:rFonts w:ascii="微软雅黑" w:eastAsia="微软雅黑" w:hAnsi="微软雅黑" w:cs="宋体" w:hint="eastAsia"/>
          <w:color w:val="515151"/>
          <w:kern w:val="0"/>
          <w:sz w:val="18"/>
          <w:szCs w:val="18"/>
        </w:rPr>
      </w:pPr>
      <w:r w:rsidRPr="00A21834">
        <w:rPr>
          <w:rFonts w:ascii="微软雅黑" w:eastAsia="微软雅黑" w:hAnsi="微软雅黑" w:cs="宋体" w:hint="eastAsia"/>
          <w:color w:val="515151"/>
          <w:kern w:val="0"/>
          <w:sz w:val="18"/>
          <w:szCs w:val="18"/>
        </w:rPr>
        <w:t>版权所有：中国证券监督管理委员会 京ICP备 05035542号</w:t>
      </w:r>
    </w:p>
    <w:p w:rsidR="00A21834" w:rsidRPr="00A21834" w:rsidRDefault="00A21834" w:rsidP="00A21834">
      <w:pPr>
        <w:widowControl/>
        <w:jc w:val="center"/>
        <w:rPr>
          <w:rFonts w:ascii="微软雅黑" w:eastAsia="微软雅黑" w:hAnsi="微软雅黑" w:cs="宋体" w:hint="eastAsia"/>
          <w:color w:val="515151"/>
          <w:kern w:val="0"/>
          <w:sz w:val="18"/>
          <w:szCs w:val="18"/>
        </w:rPr>
      </w:pPr>
      <w:r w:rsidRPr="00A21834">
        <w:rPr>
          <w:rFonts w:ascii="微软雅黑" w:eastAsia="微软雅黑" w:hAnsi="微软雅黑" w:cs="宋体" w:hint="eastAsia"/>
          <w:color w:val="515151"/>
          <w:kern w:val="0"/>
          <w:sz w:val="18"/>
          <w:szCs w:val="18"/>
        </w:rPr>
        <w:t>地址：北京市西城区金融大街19号富凯大厦A座 邮编：100033</w:t>
      </w:r>
    </w:p>
    <w:p w:rsidR="00A21834" w:rsidRPr="00A21834" w:rsidRDefault="00A21834" w:rsidP="00A21834">
      <w:pPr>
        <w:widowControl/>
        <w:jc w:val="center"/>
        <w:rPr>
          <w:rFonts w:ascii="微软雅黑" w:eastAsia="微软雅黑" w:hAnsi="微软雅黑" w:cs="宋体" w:hint="eastAsia"/>
          <w:color w:val="515151"/>
          <w:kern w:val="0"/>
          <w:sz w:val="18"/>
          <w:szCs w:val="18"/>
        </w:rPr>
      </w:pPr>
      <w:r w:rsidRPr="00A21834">
        <w:rPr>
          <w:rFonts w:ascii="微软雅黑" w:eastAsia="微软雅黑" w:hAnsi="微软雅黑" w:cs="宋体" w:hint="eastAsia"/>
          <w:color w:val="515151"/>
          <w:kern w:val="0"/>
          <w:sz w:val="18"/>
          <w:szCs w:val="18"/>
        </w:rPr>
        <w:t>建议使用IE5.5以上浏览器，分辨率1024*768</w:t>
      </w:r>
    </w:p>
    <w:p w:rsidR="00801F9F" w:rsidRPr="00A21834" w:rsidRDefault="00801F9F"/>
    <w:sectPr w:rsidR="00801F9F" w:rsidRPr="00A21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34"/>
    <w:rsid w:val="00801F9F"/>
    <w:rsid w:val="00A21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A4371-FB99-44CC-BA3B-D2D36057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8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1834"/>
    <w:rPr>
      <w:b/>
      <w:bCs/>
    </w:rPr>
  </w:style>
  <w:style w:type="paragraph" w:customStyle="1" w:styleId="p0">
    <w:name w:val="p0"/>
    <w:basedOn w:val="a"/>
    <w:rsid w:val="00A2183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21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47275">
      <w:bodyDiv w:val="1"/>
      <w:marLeft w:val="0"/>
      <w:marRight w:val="0"/>
      <w:marTop w:val="0"/>
      <w:marBottom w:val="0"/>
      <w:divBdr>
        <w:top w:val="none" w:sz="0" w:space="0" w:color="auto"/>
        <w:left w:val="none" w:sz="0" w:space="0" w:color="auto"/>
        <w:bottom w:val="none" w:sz="0" w:space="0" w:color="auto"/>
        <w:right w:val="none" w:sz="0" w:space="0" w:color="auto"/>
      </w:divBdr>
      <w:divsChild>
        <w:div w:id="1423405550">
          <w:marLeft w:val="0"/>
          <w:marRight w:val="0"/>
          <w:marTop w:val="150"/>
          <w:marBottom w:val="150"/>
          <w:divBdr>
            <w:top w:val="none" w:sz="0" w:space="0" w:color="auto"/>
            <w:left w:val="none" w:sz="0" w:space="0" w:color="auto"/>
            <w:bottom w:val="none" w:sz="0" w:space="0" w:color="auto"/>
            <w:right w:val="none" w:sz="0" w:space="0" w:color="auto"/>
          </w:divBdr>
        </w:div>
        <w:div w:id="1873377931">
          <w:marLeft w:val="0"/>
          <w:marRight w:val="0"/>
          <w:marTop w:val="0"/>
          <w:marBottom w:val="0"/>
          <w:divBdr>
            <w:top w:val="single" w:sz="6" w:space="8" w:color="B5B5B5"/>
            <w:left w:val="single" w:sz="6" w:space="0" w:color="B5B5B5"/>
            <w:bottom w:val="single" w:sz="6" w:space="8" w:color="B5B5B5"/>
            <w:right w:val="single" w:sz="6" w:space="0" w:color="B5B5B5"/>
          </w:divBdr>
          <w:divsChild>
            <w:div w:id="1806004919">
              <w:marLeft w:val="0"/>
              <w:marRight w:val="0"/>
              <w:marTop w:val="0"/>
              <w:marBottom w:val="0"/>
              <w:divBdr>
                <w:top w:val="none" w:sz="0" w:space="0" w:color="auto"/>
                <w:left w:val="none" w:sz="0" w:space="0" w:color="auto"/>
                <w:bottom w:val="none" w:sz="0" w:space="0" w:color="auto"/>
                <w:right w:val="none" w:sz="0" w:space="0" w:color="auto"/>
              </w:divBdr>
            </w:div>
            <w:div w:id="1896576872">
              <w:marLeft w:val="0"/>
              <w:marRight w:val="0"/>
              <w:marTop w:val="0"/>
              <w:marBottom w:val="0"/>
              <w:divBdr>
                <w:top w:val="none" w:sz="0" w:space="0" w:color="auto"/>
                <w:left w:val="none" w:sz="0" w:space="0" w:color="auto"/>
                <w:bottom w:val="none" w:sz="0" w:space="0" w:color="auto"/>
                <w:right w:val="none" w:sz="0" w:space="0" w:color="auto"/>
              </w:divBdr>
            </w:div>
            <w:div w:id="736367076">
              <w:marLeft w:val="0"/>
              <w:marRight w:val="0"/>
              <w:marTop w:val="120"/>
              <w:marBottom w:val="120"/>
              <w:divBdr>
                <w:top w:val="none" w:sz="0" w:space="0" w:color="auto"/>
                <w:left w:val="none" w:sz="0" w:space="0" w:color="auto"/>
                <w:bottom w:val="none" w:sz="0" w:space="0" w:color="auto"/>
                <w:right w:val="none" w:sz="0" w:space="0" w:color="auto"/>
              </w:divBdr>
            </w:div>
          </w:divsChild>
        </w:div>
        <w:div w:id="1125393195">
          <w:marLeft w:val="0"/>
          <w:marRight w:val="0"/>
          <w:marTop w:val="120"/>
          <w:marBottom w:val="0"/>
          <w:divBdr>
            <w:top w:val="none" w:sz="0" w:space="0" w:color="auto"/>
            <w:left w:val="none" w:sz="0" w:space="0" w:color="auto"/>
            <w:bottom w:val="none" w:sz="0" w:space="0" w:color="auto"/>
            <w:right w:val="none" w:sz="0" w:space="0" w:color="auto"/>
          </w:divBdr>
          <w:divsChild>
            <w:div w:id="1591355281">
              <w:marLeft w:val="0"/>
              <w:marRight w:val="0"/>
              <w:marTop w:val="60"/>
              <w:marBottom w:val="0"/>
              <w:divBdr>
                <w:top w:val="none" w:sz="0" w:space="0" w:color="auto"/>
                <w:left w:val="none" w:sz="0" w:space="0" w:color="auto"/>
                <w:bottom w:val="none" w:sz="0" w:space="0" w:color="auto"/>
                <w:right w:val="none" w:sz="0" w:space="0" w:color="auto"/>
              </w:divBdr>
            </w:div>
            <w:div w:id="1855529881">
              <w:marLeft w:val="0"/>
              <w:marRight w:val="0"/>
              <w:marTop w:val="60"/>
              <w:marBottom w:val="0"/>
              <w:divBdr>
                <w:top w:val="none" w:sz="0" w:space="0" w:color="auto"/>
                <w:left w:val="none" w:sz="0" w:space="0" w:color="auto"/>
                <w:bottom w:val="none" w:sz="0" w:space="0" w:color="auto"/>
                <w:right w:val="none" w:sz="0" w:space="0" w:color="auto"/>
              </w:divBdr>
            </w:div>
            <w:div w:id="693728255">
              <w:marLeft w:val="0"/>
              <w:marRight w:val="0"/>
              <w:marTop w:val="60"/>
              <w:marBottom w:val="0"/>
              <w:divBdr>
                <w:top w:val="none" w:sz="0" w:space="0" w:color="auto"/>
                <w:left w:val="none" w:sz="0" w:space="0" w:color="auto"/>
                <w:bottom w:val="none" w:sz="0" w:space="0" w:color="auto"/>
                <w:right w:val="none" w:sz="0" w:space="0" w:color="auto"/>
              </w:divBdr>
            </w:div>
            <w:div w:id="950743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1_29628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2020-02-17T14:56:00Z</dcterms:created>
  <dcterms:modified xsi:type="dcterms:W3CDTF">2020-02-17T14:57:00Z</dcterms:modified>
</cp:coreProperties>
</file>