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084" w:rsidRPr="00DA3084" w:rsidRDefault="00DA3084" w:rsidP="00DA3084">
      <w:pPr>
        <w:widowControl/>
        <w:jc w:val="center"/>
        <w:rPr>
          <w:rFonts w:ascii="微软雅黑" w:eastAsia="微软雅黑" w:hAnsi="微软雅黑" w:cs="宋体"/>
          <w:color w:val="000000"/>
          <w:kern w:val="0"/>
          <w:sz w:val="18"/>
          <w:szCs w:val="18"/>
        </w:rPr>
      </w:pPr>
      <w:r w:rsidRPr="00DA308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A3084" w:rsidRPr="00DA3084" w:rsidTr="00DA3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3084" w:rsidRPr="00DA3084">
              <w:trPr>
                <w:tblCellSpacing w:w="0" w:type="dxa"/>
              </w:trPr>
              <w:tc>
                <w:tcPr>
                  <w:tcW w:w="2500" w:type="pct"/>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hint="eastAsia"/>
                      <w:color w:val="686868"/>
                      <w:kern w:val="0"/>
                      <w:sz w:val="18"/>
                      <w:szCs w:val="18"/>
                    </w:rPr>
                  </w:pPr>
                  <w:r w:rsidRPr="00DA3084">
                    <w:rPr>
                      <w:rFonts w:ascii="宋体" w:eastAsia="宋体" w:hAnsi="宋体" w:cs="宋体"/>
                      <w:b/>
                      <w:bCs/>
                      <w:color w:val="686868"/>
                      <w:kern w:val="0"/>
                      <w:sz w:val="18"/>
                      <w:szCs w:val="18"/>
                    </w:rPr>
                    <w:t>索 引 号:</w:t>
                  </w:r>
                  <w:r w:rsidRPr="00DA308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分类:</w:t>
                  </w:r>
                  <w:r w:rsidRPr="00DA3084">
                    <w:rPr>
                      <w:rFonts w:ascii="宋体" w:eastAsia="宋体" w:hAnsi="宋体" w:cs="宋体"/>
                      <w:color w:val="686868"/>
                      <w:kern w:val="0"/>
                      <w:sz w:val="18"/>
                      <w:szCs w:val="18"/>
                    </w:rPr>
                    <w:t> 行政处罚 ; 行政处罚决定</w:t>
                  </w:r>
                </w:p>
              </w:tc>
            </w:tr>
          </w:tbl>
          <w:p w:rsidR="00DA3084" w:rsidRPr="00DA3084" w:rsidRDefault="00DA3084" w:rsidP="00DA3084">
            <w:pPr>
              <w:widowControl/>
              <w:jc w:val="left"/>
              <w:rPr>
                <w:rFonts w:ascii="宋体" w:eastAsia="宋体" w:hAnsi="宋体" w:cs="宋体"/>
                <w:color w:val="686868"/>
                <w:kern w:val="0"/>
                <w:sz w:val="18"/>
                <w:szCs w:val="18"/>
              </w:rPr>
            </w:pPr>
          </w:p>
        </w:tc>
      </w:tr>
      <w:tr w:rsidR="00DA3084" w:rsidRPr="00DA3084" w:rsidTr="00DA3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3084" w:rsidRPr="00DA3084">
              <w:trPr>
                <w:tblCellSpacing w:w="0" w:type="dxa"/>
              </w:trPr>
              <w:tc>
                <w:tcPr>
                  <w:tcW w:w="2500" w:type="pct"/>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发布机构:</w:t>
                  </w:r>
                  <w:r w:rsidRPr="00DA308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发文日期:</w:t>
                  </w:r>
                  <w:r w:rsidRPr="00DA3084">
                    <w:rPr>
                      <w:rFonts w:ascii="宋体" w:eastAsia="宋体" w:hAnsi="宋体" w:cs="宋体"/>
                      <w:color w:val="686868"/>
                      <w:kern w:val="0"/>
                      <w:sz w:val="18"/>
                      <w:szCs w:val="18"/>
                    </w:rPr>
                    <w:t> 2016年04月26日</w:t>
                  </w:r>
                </w:p>
              </w:tc>
            </w:tr>
          </w:tbl>
          <w:p w:rsidR="00DA3084" w:rsidRPr="00DA3084" w:rsidRDefault="00DA3084" w:rsidP="00DA3084">
            <w:pPr>
              <w:widowControl/>
              <w:jc w:val="left"/>
              <w:rPr>
                <w:rFonts w:ascii="宋体" w:eastAsia="宋体" w:hAnsi="宋体" w:cs="宋体"/>
                <w:color w:val="686868"/>
                <w:kern w:val="0"/>
                <w:sz w:val="18"/>
                <w:szCs w:val="18"/>
              </w:rPr>
            </w:pPr>
          </w:p>
        </w:tc>
      </w:tr>
      <w:tr w:rsidR="00DA3084" w:rsidRPr="00DA3084" w:rsidTr="00DA3084">
        <w:trPr>
          <w:tblCellSpacing w:w="0" w:type="dxa"/>
          <w:jc w:val="center"/>
        </w:trPr>
        <w:tc>
          <w:tcPr>
            <w:tcW w:w="0" w:type="auto"/>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名　　称:</w:t>
            </w:r>
            <w:r w:rsidRPr="00DA3084">
              <w:rPr>
                <w:rFonts w:ascii="宋体" w:eastAsia="宋体" w:hAnsi="宋体" w:cs="宋体"/>
                <w:color w:val="686868"/>
                <w:kern w:val="0"/>
                <w:sz w:val="18"/>
                <w:szCs w:val="18"/>
              </w:rPr>
              <w:t> 中国证监会行政处罚决定书（叶书）</w:t>
            </w:r>
          </w:p>
        </w:tc>
      </w:tr>
      <w:tr w:rsidR="00DA3084" w:rsidRPr="00DA3084" w:rsidTr="00DA3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3084" w:rsidRPr="00DA3084">
              <w:trPr>
                <w:tblCellSpacing w:w="0" w:type="dxa"/>
              </w:trPr>
              <w:tc>
                <w:tcPr>
                  <w:tcW w:w="2500" w:type="pct"/>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文　　号:</w:t>
                  </w:r>
                  <w:r w:rsidRPr="00DA3084">
                    <w:rPr>
                      <w:rFonts w:ascii="宋体" w:eastAsia="宋体" w:hAnsi="宋体" w:cs="宋体"/>
                      <w:color w:val="686868"/>
                      <w:kern w:val="0"/>
                      <w:sz w:val="18"/>
                      <w:szCs w:val="18"/>
                    </w:rPr>
                    <w:t> </w:t>
                  </w:r>
                  <w:bookmarkStart w:id="0" w:name="_GoBack"/>
                  <w:r w:rsidRPr="00DA3084">
                    <w:rPr>
                      <w:rFonts w:ascii="宋体" w:eastAsia="宋体" w:hAnsi="宋体" w:cs="宋体"/>
                      <w:color w:val="686868"/>
                      <w:kern w:val="0"/>
                      <w:sz w:val="18"/>
                      <w:szCs w:val="18"/>
                    </w:rPr>
                    <w:t>〔2016〕53号</w:t>
                  </w:r>
                  <w:bookmarkEnd w:id="0"/>
                </w:p>
              </w:tc>
              <w:tc>
                <w:tcPr>
                  <w:tcW w:w="0" w:type="auto"/>
                  <w:tcMar>
                    <w:top w:w="30" w:type="dxa"/>
                    <w:left w:w="30" w:type="dxa"/>
                    <w:bottom w:w="30" w:type="dxa"/>
                    <w:right w:w="30" w:type="dxa"/>
                  </w:tcMar>
                  <w:hideMark/>
                </w:tcPr>
                <w:p w:rsidR="00DA3084" w:rsidRPr="00DA3084" w:rsidRDefault="00DA3084" w:rsidP="00DA3084">
                  <w:pPr>
                    <w:widowControl/>
                    <w:jc w:val="left"/>
                    <w:rPr>
                      <w:rFonts w:ascii="宋体" w:eastAsia="宋体" w:hAnsi="宋体" w:cs="宋体"/>
                      <w:color w:val="686868"/>
                      <w:kern w:val="0"/>
                      <w:sz w:val="18"/>
                      <w:szCs w:val="18"/>
                    </w:rPr>
                  </w:pPr>
                  <w:r w:rsidRPr="00DA3084">
                    <w:rPr>
                      <w:rFonts w:ascii="宋体" w:eastAsia="宋体" w:hAnsi="宋体" w:cs="宋体"/>
                      <w:b/>
                      <w:bCs/>
                      <w:color w:val="686868"/>
                      <w:kern w:val="0"/>
                      <w:sz w:val="18"/>
                      <w:szCs w:val="18"/>
                    </w:rPr>
                    <w:t>主 题 词:</w:t>
                  </w:r>
                </w:p>
              </w:tc>
            </w:tr>
          </w:tbl>
          <w:p w:rsidR="00DA3084" w:rsidRPr="00DA3084" w:rsidRDefault="00DA3084" w:rsidP="00DA3084">
            <w:pPr>
              <w:widowControl/>
              <w:jc w:val="left"/>
              <w:rPr>
                <w:rFonts w:ascii="宋体" w:eastAsia="宋体" w:hAnsi="宋体" w:cs="宋体"/>
                <w:color w:val="686868"/>
                <w:kern w:val="0"/>
                <w:sz w:val="18"/>
                <w:szCs w:val="18"/>
              </w:rPr>
            </w:pPr>
          </w:p>
        </w:tc>
      </w:tr>
    </w:tbl>
    <w:p w:rsidR="00DA3084" w:rsidRPr="00DA3084" w:rsidRDefault="00DA3084" w:rsidP="00DA3084">
      <w:pPr>
        <w:widowControl/>
        <w:jc w:val="center"/>
        <w:rPr>
          <w:rFonts w:ascii="微软雅黑" w:eastAsia="微软雅黑" w:hAnsi="微软雅黑" w:cs="宋体"/>
          <w:color w:val="000000"/>
          <w:kern w:val="0"/>
          <w:sz w:val="18"/>
          <w:szCs w:val="18"/>
        </w:rPr>
      </w:pPr>
      <w:r w:rsidRPr="00DA308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A3084" w:rsidRPr="00DA3084" w:rsidRDefault="00DA3084" w:rsidP="00DA3084">
      <w:pPr>
        <w:widowControl/>
        <w:shd w:val="clear" w:color="auto" w:fill="FFFFFF"/>
        <w:spacing w:after="240"/>
        <w:jc w:val="center"/>
        <w:rPr>
          <w:rFonts w:ascii="微软雅黑" w:eastAsia="微软雅黑" w:hAnsi="微软雅黑" w:cs="宋体" w:hint="eastAsia"/>
          <w:color w:val="000000"/>
          <w:kern w:val="0"/>
          <w:sz w:val="18"/>
          <w:szCs w:val="18"/>
        </w:rPr>
      </w:pPr>
      <w:r w:rsidRPr="00DA3084">
        <w:rPr>
          <w:rFonts w:ascii="微软雅黑" w:eastAsia="微软雅黑" w:hAnsi="微软雅黑" w:cs="宋体" w:hint="eastAsia"/>
          <w:color w:val="000000"/>
          <w:kern w:val="0"/>
          <w:sz w:val="18"/>
          <w:szCs w:val="18"/>
        </w:rPr>
        <w:br/>
      </w:r>
      <w:r w:rsidRPr="00DA3084">
        <w:rPr>
          <w:rFonts w:ascii="黑体" w:eastAsia="黑体" w:hAnsi="黑体" w:cs="宋体" w:hint="eastAsia"/>
          <w:b/>
          <w:bCs/>
          <w:color w:val="FF0000"/>
          <w:kern w:val="0"/>
          <w:sz w:val="36"/>
          <w:szCs w:val="36"/>
        </w:rPr>
        <w:t>中国证监会行政处罚决定书（叶书）</w:t>
      </w:r>
    </w:p>
    <w:p w:rsidR="00DA3084" w:rsidRPr="00DA3084" w:rsidRDefault="00DA3084" w:rsidP="00DA3084">
      <w:pPr>
        <w:widowControl/>
        <w:shd w:val="clear" w:color="auto" w:fill="FFFFFF"/>
        <w:spacing w:line="360" w:lineRule="atLeast"/>
        <w:jc w:val="center"/>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〔2016〕53号</w:t>
      </w:r>
    </w:p>
    <w:p w:rsidR="00DA3084" w:rsidRPr="00DA3084" w:rsidRDefault="00DA3084" w:rsidP="00DA3084">
      <w:pPr>
        <w:widowControl/>
        <w:shd w:val="clear" w:color="auto" w:fill="FFFFFF"/>
        <w:spacing w:line="360" w:lineRule="atLeast"/>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 </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当事人：叶书，男，1962年3月出生，住址：广东省深圳市罗湖区。</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依据《中华人民共和国证券法》（以下简称《证券法》）的有关规定，我会对叶书内幕交易行为进行了立案调查、审理。因无法以其他方式送达，我会依法向当事人公告送达了《行政处罚事先告知书》。公告期满后，当事人未提出陈述、申辩意见，也未要求听证。本案现已调查、审理终结。</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经查明，叶书存在以下违法事实：</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一、内幕信息的形成、传递与公开过程</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2008年下半年以来，广东威华股份有限公司（以下简称威华股份或公司）时任董事长、控股股东李某华和其配偶刘某一直在谋划如何使威华股份摆脱经营困境，思路包括同行业兼并收购继续做大做强、收购优质资产注入威华股份、产业转型以及控股股东退出等。</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2013年初，不断有人推荐各种思路及资产给李某华。1月底，威华股份财务总监蔡某萍将殷某国引见给李某华，殷某国曾是上市公司中源协和干细胞生物工程股份有限公司的高管，拟到威华股份求职，谋求更好的个人发展。</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2月23日上午，殷某国自称有金矿资源，可以与威华股份合作。考虑到金矿项目不成熟，并了解到李某华和刘某拟将他们直接控股的梅州市威华铜箔制造有限公司（以下简称威华铜箔）及其控股子公司梅州市威利邦电子科技有限公司（以下简称威利邦电子）从事的铜箔、覆铜板制造和销售业务作为IT产业注入上市公司，殷某国致电长江证券承销保荐有限公司（以下简称长江保荐）总裁王某平，提及威华股份拟谋划并购项目，邀请长江保荐前来广州与威华股份领导面谈并购事宜。当日下午，李某华、威华股份时任总经理李某明、蔡某萍及董事会办公室主任高某富、殷某国，与王某平和长江保荐项目经理王某初步探讨了将IT产业并购到威华股份的思路，并确定由王</w:t>
      </w:r>
      <w:proofErr w:type="gramStart"/>
      <w:r w:rsidRPr="00DA3084">
        <w:rPr>
          <w:rFonts w:ascii="宋体" w:eastAsia="宋体" w:hAnsi="宋体" w:cs="宋体" w:hint="eastAsia"/>
          <w:color w:val="000000"/>
          <w:kern w:val="0"/>
          <w:szCs w:val="21"/>
        </w:rPr>
        <w:t>某尽快</w:t>
      </w:r>
      <w:proofErr w:type="gramEnd"/>
      <w:r w:rsidRPr="00DA3084">
        <w:rPr>
          <w:rFonts w:ascii="宋体" w:eastAsia="宋体" w:hAnsi="宋体" w:cs="宋体" w:hint="eastAsia"/>
          <w:color w:val="000000"/>
          <w:kern w:val="0"/>
          <w:szCs w:val="21"/>
        </w:rPr>
        <w:t>去IT产业所在地梅州现场实地调研后，再行讨论。本次会议与会人员强调了信息保密的要求。</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lastRenderedPageBreak/>
        <w:t>2月25日下午，在蔡某萍的安排下，王某等人实地参观了威利邦电子及威华铜箔的厂区。</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3月6日，王某将《威华股份发行股份收购覆铜板业务并配套现金发行方案概况及测算》以电子邮件形式发给了李某华、李某明和蔡某萍。</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3月10日，李某华、李某明、威华</w:t>
      </w:r>
      <w:proofErr w:type="gramStart"/>
      <w:r w:rsidRPr="00DA3084">
        <w:rPr>
          <w:rFonts w:ascii="宋体" w:eastAsia="宋体" w:hAnsi="宋体" w:cs="宋体" w:hint="eastAsia"/>
          <w:color w:val="000000"/>
          <w:kern w:val="0"/>
          <w:szCs w:val="21"/>
        </w:rPr>
        <w:t>股份董秘刘某</w:t>
      </w:r>
      <w:proofErr w:type="gramEnd"/>
      <w:r w:rsidRPr="00DA3084">
        <w:rPr>
          <w:rFonts w:ascii="宋体" w:eastAsia="宋体" w:hAnsi="宋体" w:cs="宋体" w:hint="eastAsia"/>
          <w:color w:val="000000"/>
          <w:kern w:val="0"/>
          <w:szCs w:val="21"/>
        </w:rPr>
        <w:t>梅、高某富以及殷某国，与长江保荐的董事总经理周某黎等人会面。周某黎简单介绍了威华股份并购IT产业的初步方案以及长江保荐的基本情况，表达了合作意向。与会人员基本达成初步共识：鉴于威华铜箔及威利邦电子的规模和盈利能力偏弱，公司还需寻求上下游产业链或关联度高的产业一同注入，最好是上游铜矿产业。此次会议与会人员再次重申了信息保密的要求。</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3月26至27日，李某明、高某富及两名外聘地质工程师组成考察工作组实地调研了云南丽江文通铜矿。</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3月31日，高某富将云南丽江文通铜矿实地考察情况形成书面报告提交给了李某华和李某明，当时基本确定该项目可以作为威华股份并购IT产业的备选项目。</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同期3月底，广东新价值投资有限公司罗某广通过李某明向李某华介绍赣州稀土集团有限责任公司（以下简称赣州稀土）拟借壳上市的情况，李某华对该项目较为认可。为进一步了解其真实性及具体情况，3月30日，李某华和李某明前往南昌，李某华和罗某广与据称是赣州市政府指定的</w:t>
      </w:r>
      <w:proofErr w:type="gramStart"/>
      <w:r w:rsidRPr="00DA3084">
        <w:rPr>
          <w:rFonts w:ascii="宋体" w:eastAsia="宋体" w:hAnsi="宋体" w:cs="宋体" w:hint="eastAsia"/>
          <w:color w:val="000000"/>
          <w:kern w:val="0"/>
          <w:szCs w:val="21"/>
        </w:rPr>
        <w:t>选壳具体</w:t>
      </w:r>
      <w:proofErr w:type="gramEnd"/>
      <w:r w:rsidRPr="00DA3084">
        <w:rPr>
          <w:rFonts w:ascii="宋体" w:eastAsia="宋体" w:hAnsi="宋体" w:cs="宋体" w:hint="eastAsia"/>
          <w:color w:val="000000"/>
          <w:kern w:val="0"/>
          <w:szCs w:val="21"/>
        </w:rPr>
        <w:t>负责人姚某彪见面，李某华向姚某</w:t>
      </w:r>
      <w:proofErr w:type="gramStart"/>
      <w:r w:rsidRPr="00DA3084">
        <w:rPr>
          <w:rFonts w:ascii="宋体" w:eastAsia="宋体" w:hAnsi="宋体" w:cs="宋体" w:hint="eastAsia"/>
          <w:color w:val="000000"/>
          <w:kern w:val="0"/>
          <w:szCs w:val="21"/>
        </w:rPr>
        <w:t>彪</w:t>
      </w:r>
      <w:proofErr w:type="gramEnd"/>
      <w:r w:rsidRPr="00DA3084">
        <w:rPr>
          <w:rFonts w:ascii="宋体" w:eastAsia="宋体" w:hAnsi="宋体" w:cs="宋体" w:hint="eastAsia"/>
          <w:color w:val="000000"/>
          <w:kern w:val="0"/>
          <w:szCs w:val="21"/>
        </w:rPr>
        <w:t>介绍了威华股份的基本情况，姚某彪表示赣州稀土拟借壳上市确有其事，但稀土矿的整合和稀土行业准入报批等工作尚在进行之中，不知何时才能完成，同时，姚某彪</w:t>
      </w:r>
      <w:proofErr w:type="gramStart"/>
      <w:r w:rsidRPr="00DA3084">
        <w:rPr>
          <w:rFonts w:ascii="宋体" w:eastAsia="宋体" w:hAnsi="宋体" w:cs="宋体" w:hint="eastAsia"/>
          <w:color w:val="000000"/>
          <w:kern w:val="0"/>
          <w:szCs w:val="21"/>
        </w:rPr>
        <w:t>明确表</w:t>
      </w:r>
      <w:proofErr w:type="gramEnd"/>
      <w:r w:rsidRPr="00DA3084">
        <w:rPr>
          <w:rFonts w:ascii="宋体" w:eastAsia="宋体" w:hAnsi="宋体" w:cs="宋体" w:hint="eastAsia"/>
          <w:color w:val="000000"/>
          <w:kern w:val="0"/>
          <w:szCs w:val="21"/>
        </w:rPr>
        <w:t>示威华股份是民营企业，又是</w:t>
      </w:r>
      <w:proofErr w:type="gramStart"/>
      <w:r w:rsidRPr="00DA3084">
        <w:rPr>
          <w:rFonts w:ascii="宋体" w:eastAsia="宋体" w:hAnsi="宋体" w:cs="宋体" w:hint="eastAsia"/>
          <w:color w:val="000000"/>
          <w:kern w:val="0"/>
          <w:szCs w:val="21"/>
        </w:rPr>
        <w:t>中小板且盘子</w:t>
      </w:r>
      <w:proofErr w:type="gramEnd"/>
      <w:r w:rsidRPr="00DA3084">
        <w:rPr>
          <w:rFonts w:ascii="宋体" w:eastAsia="宋体" w:hAnsi="宋体" w:cs="宋体" w:hint="eastAsia"/>
          <w:color w:val="000000"/>
          <w:kern w:val="0"/>
          <w:szCs w:val="21"/>
        </w:rPr>
        <w:t>大，纵使赣州稀土借壳，威华股份作为</w:t>
      </w:r>
      <w:proofErr w:type="gramStart"/>
      <w:r w:rsidRPr="00DA3084">
        <w:rPr>
          <w:rFonts w:ascii="宋体" w:eastAsia="宋体" w:hAnsi="宋体" w:cs="宋体" w:hint="eastAsia"/>
          <w:color w:val="000000"/>
          <w:kern w:val="0"/>
          <w:szCs w:val="21"/>
        </w:rPr>
        <w:t>选壳对象</w:t>
      </w:r>
      <w:proofErr w:type="gramEnd"/>
      <w:r w:rsidRPr="00DA3084">
        <w:rPr>
          <w:rFonts w:ascii="宋体" w:eastAsia="宋体" w:hAnsi="宋体" w:cs="宋体" w:hint="eastAsia"/>
          <w:color w:val="000000"/>
          <w:kern w:val="0"/>
          <w:szCs w:val="21"/>
        </w:rPr>
        <w:t>的可能性都不大。</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大约在4月11至14日，综合考虑各种因素，李某华认为赣州稀土借</w:t>
      </w:r>
      <w:proofErr w:type="gramStart"/>
      <w:r w:rsidRPr="00DA3084">
        <w:rPr>
          <w:rFonts w:ascii="宋体" w:eastAsia="宋体" w:hAnsi="宋体" w:cs="宋体" w:hint="eastAsia"/>
          <w:color w:val="000000"/>
          <w:kern w:val="0"/>
          <w:szCs w:val="21"/>
        </w:rPr>
        <w:t>壳项目</w:t>
      </w:r>
      <w:proofErr w:type="gramEnd"/>
      <w:r w:rsidRPr="00DA3084">
        <w:rPr>
          <w:rFonts w:ascii="宋体" w:eastAsia="宋体" w:hAnsi="宋体" w:cs="宋体" w:hint="eastAsia"/>
          <w:color w:val="000000"/>
          <w:kern w:val="0"/>
          <w:szCs w:val="21"/>
        </w:rPr>
        <w:t>比较适合，他再次到南昌与姚某彪见面，由于姚某彪当时工作较忙，双方大概在4月13至14日见面，李某华表达了拟参与赣州稀土重组的意愿，姚某彪再次表示威华股份是民营企业，又是</w:t>
      </w:r>
      <w:proofErr w:type="gramStart"/>
      <w:r w:rsidRPr="00DA3084">
        <w:rPr>
          <w:rFonts w:ascii="宋体" w:eastAsia="宋体" w:hAnsi="宋体" w:cs="宋体" w:hint="eastAsia"/>
          <w:color w:val="000000"/>
          <w:kern w:val="0"/>
          <w:szCs w:val="21"/>
        </w:rPr>
        <w:t>中小板且盘子</w:t>
      </w:r>
      <w:proofErr w:type="gramEnd"/>
      <w:r w:rsidRPr="00DA3084">
        <w:rPr>
          <w:rFonts w:ascii="宋体" w:eastAsia="宋体" w:hAnsi="宋体" w:cs="宋体" w:hint="eastAsia"/>
          <w:color w:val="000000"/>
          <w:kern w:val="0"/>
          <w:szCs w:val="21"/>
        </w:rPr>
        <w:t>大，很难</w:t>
      </w:r>
      <w:proofErr w:type="gramStart"/>
      <w:r w:rsidRPr="00DA3084">
        <w:rPr>
          <w:rFonts w:ascii="宋体" w:eastAsia="宋体" w:hAnsi="宋体" w:cs="宋体" w:hint="eastAsia"/>
          <w:color w:val="000000"/>
          <w:kern w:val="0"/>
          <w:szCs w:val="21"/>
        </w:rPr>
        <w:t>列入选壳对象</w:t>
      </w:r>
      <w:proofErr w:type="gramEnd"/>
      <w:r w:rsidRPr="00DA3084">
        <w:rPr>
          <w:rFonts w:ascii="宋体" w:eastAsia="宋体" w:hAnsi="宋体" w:cs="宋体" w:hint="eastAsia"/>
          <w:color w:val="000000"/>
          <w:kern w:val="0"/>
          <w:szCs w:val="21"/>
        </w:rPr>
        <w:t>。</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4月15日，考虑市场变动、信息保密及拟将集团IT产业及收购铜矿注入上市公司的想法列入于4月17日召开的威华股份董事会会议临时议题等多重因素影响，为避免股价波动，李某华电话通知刘某梅，向深圳证券交易所申请自4月16日起股票停牌5个交易日，停牌原因为控股股东正在筹划重大事项，且存在不确定性。</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4月16日，威华股份公告，公司控股股东、实际控制人正在筹划涉及公司的重大事项，公司股票自当日开市起停牌，将不晚于2013年4月23日开市起复牌并公告相关事项。</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大概在4月18至19日，罗某广电话询问李某明是否愿意参与赣州稀土重组</w:t>
      </w:r>
      <w:proofErr w:type="gramStart"/>
      <w:r w:rsidRPr="00DA3084">
        <w:rPr>
          <w:rFonts w:ascii="宋体" w:eastAsia="宋体" w:hAnsi="宋体" w:cs="宋体" w:hint="eastAsia"/>
          <w:color w:val="000000"/>
          <w:kern w:val="0"/>
          <w:szCs w:val="21"/>
        </w:rPr>
        <w:t>的选壳投标</w:t>
      </w:r>
      <w:proofErr w:type="gramEnd"/>
      <w:r w:rsidRPr="00DA3084">
        <w:rPr>
          <w:rFonts w:ascii="宋体" w:eastAsia="宋体" w:hAnsi="宋体" w:cs="宋体" w:hint="eastAsia"/>
          <w:color w:val="000000"/>
          <w:kern w:val="0"/>
          <w:szCs w:val="21"/>
        </w:rPr>
        <w:t>，条件是必须保证迁址和净壳，李某明请示李某华后表示同意参与投标，罗某广同时说明如果中标可能要及时补充承诺函等相关材料，李某华决定再次前往赣州现场了解实际情况。大概在4月19至20日，李某华和李某明前往赣州，在罗某广的安排下与姚某彪见面，罗某广和姚某彪均表示结果尚不清楚，估计中标可能性不大。</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4月21日上午，刘某梅接到自称是江西赣稀集团有限公司（以下简称赣稀集团）的电话，并称电话将被全程录音，在电话中向刘某梅口头核实：威华股份是否愿意被借壳，并</w:t>
      </w:r>
      <w:r w:rsidRPr="00DA3084">
        <w:rPr>
          <w:rFonts w:ascii="宋体" w:eastAsia="宋体" w:hAnsi="宋体" w:cs="宋体" w:hint="eastAsia"/>
          <w:color w:val="000000"/>
          <w:kern w:val="0"/>
          <w:szCs w:val="21"/>
        </w:rPr>
        <w:lastRenderedPageBreak/>
        <w:t>最终净壳；借壳后是否愿意迁址。刘某</w:t>
      </w:r>
      <w:proofErr w:type="gramStart"/>
      <w:r w:rsidRPr="00DA3084">
        <w:rPr>
          <w:rFonts w:ascii="宋体" w:eastAsia="宋体" w:hAnsi="宋体" w:cs="宋体" w:hint="eastAsia"/>
          <w:color w:val="000000"/>
          <w:kern w:val="0"/>
          <w:szCs w:val="21"/>
        </w:rPr>
        <w:t>梅给予</w:t>
      </w:r>
      <w:proofErr w:type="gramEnd"/>
      <w:r w:rsidRPr="00DA3084">
        <w:rPr>
          <w:rFonts w:ascii="宋体" w:eastAsia="宋体" w:hAnsi="宋体" w:cs="宋体" w:hint="eastAsia"/>
          <w:color w:val="000000"/>
          <w:kern w:val="0"/>
          <w:szCs w:val="21"/>
        </w:rPr>
        <w:t>了肯定回答。对方要求公司董事长尽快前往江西赣州面谈，李某华随即前往江西赣州，于当日下午与赣</w:t>
      </w:r>
      <w:proofErr w:type="gramStart"/>
      <w:r w:rsidRPr="00DA3084">
        <w:rPr>
          <w:rFonts w:ascii="宋体" w:eastAsia="宋体" w:hAnsi="宋体" w:cs="宋体" w:hint="eastAsia"/>
          <w:color w:val="000000"/>
          <w:kern w:val="0"/>
          <w:szCs w:val="21"/>
        </w:rPr>
        <w:t>稀集团</w:t>
      </w:r>
      <w:proofErr w:type="gramEnd"/>
      <w:r w:rsidRPr="00DA3084">
        <w:rPr>
          <w:rFonts w:ascii="宋体" w:eastAsia="宋体" w:hAnsi="宋体" w:cs="宋体" w:hint="eastAsia"/>
          <w:color w:val="000000"/>
          <w:kern w:val="0"/>
          <w:szCs w:val="21"/>
        </w:rPr>
        <w:t>董事长黄某惠等人进行了第一次会面。</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4月22日晚，李某明等人组成工作团队赶到江西赣州，与董事长汇合，开始与赣</w:t>
      </w:r>
      <w:proofErr w:type="gramStart"/>
      <w:r w:rsidRPr="00DA3084">
        <w:rPr>
          <w:rFonts w:ascii="宋体" w:eastAsia="宋体" w:hAnsi="宋体" w:cs="宋体" w:hint="eastAsia"/>
          <w:color w:val="000000"/>
          <w:kern w:val="0"/>
          <w:szCs w:val="21"/>
        </w:rPr>
        <w:t>稀集团</w:t>
      </w:r>
      <w:proofErr w:type="gramEnd"/>
      <w:r w:rsidRPr="00DA3084">
        <w:rPr>
          <w:rFonts w:ascii="宋体" w:eastAsia="宋体" w:hAnsi="宋体" w:cs="宋体" w:hint="eastAsia"/>
          <w:color w:val="000000"/>
          <w:kern w:val="0"/>
          <w:szCs w:val="21"/>
        </w:rPr>
        <w:t>进行谈判。</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4月23日和5月3日，威华股份先后发布2次重大事项继续停牌公告，5月9日，发布筹划重大资产重组的停牌公告。</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10月30日，威华股份与赣州稀土签署了《发行股份购买资产协议》、《盈利预测补偿协议》等相关文件。</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11月4日，威华股份正式对外披露《公司重大资产出售及发行股份购买资产并募集配套资金暨关联交易报告书及其摘要（草案）》以及重组方案的财务顾问报告、法律意见书、审计报告等文件。同日，“威华股份”复牌。</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12月19日，威华股份发布</w:t>
      </w:r>
      <w:proofErr w:type="gramStart"/>
      <w:r w:rsidRPr="00DA3084">
        <w:rPr>
          <w:rFonts w:ascii="宋体" w:eastAsia="宋体" w:hAnsi="宋体" w:cs="宋体" w:hint="eastAsia"/>
          <w:color w:val="000000"/>
          <w:kern w:val="0"/>
          <w:szCs w:val="21"/>
        </w:rPr>
        <w:t>自查暨复牌</w:t>
      </w:r>
      <w:proofErr w:type="gramEnd"/>
      <w:r w:rsidRPr="00DA3084">
        <w:rPr>
          <w:rFonts w:ascii="宋体" w:eastAsia="宋体" w:hAnsi="宋体" w:cs="宋体" w:hint="eastAsia"/>
          <w:color w:val="000000"/>
          <w:kern w:val="0"/>
          <w:szCs w:val="21"/>
        </w:rPr>
        <w:t>公告称，4月16日发布停牌公告的原因是资产注入事项。</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二、叶书内幕交易“威华股份”的情况</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（一）账户交易情况</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A”账户于2007年开立于中投证券。该户交易“威华股份”情况为：2013年3月13日卖出成交16,600股。4月11日买入成交300,000股，4月12日买入成交249,500股，4月15日买入成交246,300股，共计买入795,800股，成交金额3,706,201元，成交均价4.66元。2013年11月4日，“威华股份”复牌，该账户于当日卖出100,000股，11月5日卖出690,000股，共计卖出790,000股，卖出均价5.71元。</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“叶书B”账户于2007年开立于光大证券。该户交易“威华股份”情况为：2013年4月15日买入成交50,000股，成交金额235,000元，成交均价4.70元。2014年1月6日卖出50,000股，成交金额955,500元，卖出均价18.83元。</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2013年4月11至15日期间，“叶书A”账户与“叶书B”账户合计买入“威华股份”845,800股，成交金额3,941,201元，并于内幕信息公开后全部卖出，获利合计1,375,593.58元。</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（二）账户资金情况</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叶书称A账户资金都是其本人的，该账户2013年4月10至15日转入大笔资金共计约400万。</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“叶书B”账户对应的三方存管银行账户的资金主要来自其本人A账户对应的三方存管银行账户，2013年4月15日，一笔存入520,000元。</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（三）账户实际操作人情况</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称其账户主要由其本人使用。2013年4月11至15日买入“威华股份”是通过电脑上网委托，下单的IP地址为澳大利亚的IP地址，11月4日卖出“威华股份”是通过手机上网委托下单，11月5日卖出“威华股份”是通过电脑上网委托。卖出“威华股份”所使用的IP地址所在地为广州。叶书称其买入“威华股份”的交易地点在其澳大利亚的办公室，使用公司所配笔记本电脑下单。</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lastRenderedPageBreak/>
        <w:t>（四）当事人通讯联系</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叶书提供了其在澳大利亚的移动电话与固定电话，经查，李某</w:t>
      </w:r>
      <w:proofErr w:type="gramStart"/>
      <w:r w:rsidRPr="00DA3084">
        <w:rPr>
          <w:rFonts w:ascii="宋体" w:eastAsia="宋体" w:hAnsi="宋体" w:cs="宋体" w:hint="eastAsia"/>
          <w:color w:val="000000"/>
          <w:kern w:val="0"/>
          <w:szCs w:val="21"/>
        </w:rPr>
        <w:t>明手机</w:t>
      </w:r>
      <w:proofErr w:type="gramEnd"/>
      <w:r w:rsidRPr="00DA3084">
        <w:rPr>
          <w:rFonts w:ascii="宋体" w:eastAsia="宋体" w:hAnsi="宋体" w:cs="宋体" w:hint="eastAsia"/>
          <w:color w:val="000000"/>
          <w:kern w:val="0"/>
          <w:szCs w:val="21"/>
        </w:rPr>
        <w:t>号码与澳大利亚3个电话之间联系较为频繁，2013年2月至2013年6月的5个月期间，每</w:t>
      </w:r>
      <w:proofErr w:type="gramStart"/>
      <w:r w:rsidRPr="00DA3084">
        <w:rPr>
          <w:rFonts w:ascii="宋体" w:eastAsia="宋体" w:hAnsi="宋体" w:cs="宋体" w:hint="eastAsia"/>
          <w:color w:val="000000"/>
          <w:kern w:val="0"/>
          <w:szCs w:val="21"/>
        </w:rPr>
        <w:t>月分</w:t>
      </w:r>
      <w:proofErr w:type="gramEnd"/>
      <w:r w:rsidRPr="00DA3084">
        <w:rPr>
          <w:rFonts w:ascii="宋体" w:eastAsia="宋体" w:hAnsi="宋体" w:cs="宋体" w:hint="eastAsia"/>
          <w:color w:val="000000"/>
          <w:kern w:val="0"/>
          <w:szCs w:val="21"/>
        </w:rPr>
        <w:t>别有27次、93次、60次、19次、10次短信和通话。其中，2013年3月至威华股份发布重大事项停牌公告前，李某明的通讯记录中与澳大利亚电话有16次通话、20次短信联系。</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对与李某明的通讯联系，叶书称，李某明的儿子在澳大利亚上学，对澳大利亚不熟悉，且2013年3、4月份的时候生病了，李某明与其联系希望他多关照一下。李某明称，2011年10月前后，其小孩到悉尼上学，其与叶书的联系就多了起来，2013年3、4月份，小孩找房子生病期间联系较多。</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（五）交易动机及特征</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称，威华股份上市后其就开始关注，近年其账户资金量一直保持在200－300万元，2013年4月购买“威华股份”是因为当时股价很低，想做短线，但没想到股票突然停牌，对其生意造成较大影响，“威华股份”复牌后，其于11月4日和5日将A账户2013年4月份买入的“威华股份”全部卖出。但是2012年7月1日以来，其账户交易除“威华股份”外其他股票的金额均未超过50万元，而“威华股份”的交易金额达390万元。从交易股票品种来看，该账户此前交易股票均为大盘蓝筹股，“威华股份”为其交易的唯一</w:t>
      </w:r>
      <w:proofErr w:type="gramStart"/>
      <w:r w:rsidRPr="00DA3084">
        <w:rPr>
          <w:rFonts w:ascii="宋体" w:eastAsia="宋体" w:hAnsi="宋体" w:cs="宋体" w:hint="eastAsia"/>
          <w:color w:val="000000"/>
          <w:kern w:val="0"/>
          <w:szCs w:val="21"/>
        </w:rPr>
        <w:t>一</w:t>
      </w:r>
      <w:proofErr w:type="gramEnd"/>
      <w:r w:rsidRPr="00DA3084">
        <w:rPr>
          <w:rFonts w:ascii="宋体" w:eastAsia="宋体" w:hAnsi="宋体" w:cs="宋体" w:hint="eastAsia"/>
          <w:color w:val="000000"/>
          <w:kern w:val="0"/>
          <w:szCs w:val="21"/>
        </w:rPr>
        <w:t>只中小板股票。</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以上事实，有相关公告、涉案人员询问笔录和账户交易记录等证据证明，足以认定。</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我会认为，本案涉及的事项，系威华股份重大资产重组事项，无论具体方案是注入IT资产及收购铜矿还是让壳，均属于《证券法》第六十七条第二款第（二）项规定的“公司的重大投资行为和重大的购置财产的决定”。根据我国证券市场现实状况下类似事项对上市公司股票交易价格的影响、本案信息公开后“威华股份”股票价格的实际走向，结合本案事项的进展情况，至迟不晚于2013年2月23日，有关涉案事项的信息已经具备重要性从而构成内幕信息。</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叶书在内幕信息公开前与内幕信息知情人员李某明联络、接触，相关交易行为明显异常，且其没有提供充分、有说服力的理由排除其涉案交易行为系利用内幕信息，我会认定，叶书的上述行为违反了《证券法》第七十三条、第七十六条第一款的规定，构成《证券法》第二百零二条所述内幕交易行为。</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根据叶书违法行为的事实、性质、情节与社会危害程度，依据《证券法》第二百零二条的规定，我会决定：没收叶书违法所得1,375,593.58元，并处以1,375,593.58元罚款。</w:t>
      </w:r>
    </w:p>
    <w:p w:rsidR="00DA3084" w:rsidRPr="00DA3084" w:rsidRDefault="00DA3084" w:rsidP="00DA30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A3084" w:rsidRPr="00DA3084" w:rsidRDefault="00DA3084" w:rsidP="00DA3084">
      <w:pPr>
        <w:widowControl/>
        <w:shd w:val="clear" w:color="auto" w:fill="FFFFFF"/>
        <w:spacing w:line="360" w:lineRule="atLeast"/>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 </w:t>
      </w:r>
    </w:p>
    <w:p w:rsidR="00DA3084" w:rsidRPr="00DA3084" w:rsidRDefault="00DA3084" w:rsidP="00DA3084">
      <w:pPr>
        <w:widowControl/>
        <w:shd w:val="clear" w:color="auto" w:fill="FFFFFF"/>
        <w:spacing w:line="360" w:lineRule="atLeast"/>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lastRenderedPageBreak/>
        <w:t> </w:t>
      </w:r>
    </w:p>
    <w:p w:rsidR="00DA3084" w:rsidRPr="00DA3084" w:rsidRDefault="00DA3084" w:rsidP="00DA3084">
      <w:pPr>
        <w:widowControl/>
        <w:shd w:val="clear" w:color="auto" w:fill="FFFFFF"/>
        <w:spacing w:line="360" w:lineRule="atLeast"/>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 </w:t>
      </w:r>
    </w:p>
    <w:p w:rsidR="00DA3084" w:rsidRPr="00DA3084" w:rsidRDefault="00DA3084" w:rsidP="00DA3084">
      <w:pPr>
        <w:widowControl/>
        <w:shd w:val="clear" w:color="auto" w:fill="FFFFFF"/>
        <w:spacing w:line="360" w:lineRule="atLeast"/>
        <w:jc w:val="lef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 </w:t>
      </w:r>
    </w:p>
    <w:p w:rsidR="00DA3084" w:rsidRPr="00DA3084" w:rsidRDefault="00DA3084" w:rsidP="00DA30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中国证监会</w:t>
      </w:r>
      <w:proofErr w:type="gramStart"/>
      <w:r w:rsidRPr="00DA3084">
        <w:rPr>
          <w:rFonts w:ascii="宋体" w:eastAsia="宋体" w:hAnsi="宋体" w:cs="宋体" w:hint="eastAsia"/>
          <w:color w:val="000000"/>
          <w:kern w:val="0"/>
          <w:szCs w:val="21"/>
        </w:rPr>
        <w:t xml:space="preserve">　　　　　</w:t>
      </w:r>
      <w:proofErr w:type="gramEnd"/>
      <w:r w:rsidRPr="00DA3084">
        <w:rPr>
          <w:rFonts w:ascii="宋体" w:eastAsia="宋体" w:hAnsi="宋体" w:cs="宋体" w:hint="eastAsia"/>
          <w:color w:val="000000"/>
          <w:kern w:val="0"/>
          <w:szCs w:val="21"/>
        </w:rPr>
        <w:t> </w:t>
      </w:r>
    </w:p>
    <w:p w:rsidR="00DA3084" w:rsidRPr="00DA3084" w:rsidRDefault="00DA3084" w:rsidP="00DA30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A3084">
        <w:rPr>
          <w:rFonts w:ascii="宋体" w:eastAsia="宋体" w:hAnsi="宋体" w:cs="宋体" w:hint="eastAsia"/>
          <w:color w:val="000000"/>
          <w:kern w:val="0"/>
          <w:szCs w:val="21"/>
        </w:rPr>
        <w:t xml:space="preserve">2016年4月26日　　</w:t>
      </w:r>
      <w:proofErr w:type="gramStart"/>
      <w:r w:rsidRPr="00DA3084">
        <w:rPr>
          <w:rFonts w:ascii="宋体" w:eastAsia="宋体" w:hAnsi="宋体" w:cs="宋体" w:hint="eastAsia"/>
          <w:color w:val="000000"/>
          <w:kern w:val="0"/>
          <w:szCs w:val="21"/>
        </w:rPr>
        <w:t xml:space="preserve">　　</w:t>
      </w:r>
      <w:proofErr w:type="gramEnd"/>
    </w:p>
    <w:p w:rsidR="00DA3084" w:rsidRPr="00DA3084" w:rsidRDefault="00DA3084" w:rsidP="00DA308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A3084" w:rsidRPr="00DA3084" w:rsidTr="00DA3084">
        <w:trPr>
          <w:tblCellSpacing w:w="15" w:type="dxa"/>
          <w:jc w:val="center"/>
        </w:trPr>
        <w:tc>
          <w:tcPr>
            <w:tcW w:w="900" w:type="dxa"/>
            <w:vAlign w:val="center"/>
            <w:hideMark/>
          </w:tcPr>
          <w:p w:rsidR="00DA3084" w:rsidRPr="00DA3084" w:rsidRDefault="00DA3084" w:rsidP="00DA3084">
            <w:pPr>
              <w:widowControl/>
              <w:jc w:val="left"/>
              <w:rPr>
                <w:rFonts w:ascii="宋体" w:eastAsia="宋体" w:hAnsi="宋体" w:cs="宋体" w:hint="eastAsia"/>
                <w:kern w:val="0"/>
                <w:sz w:val="18"/>
                <w:szCs w:val="18"/>
              </w:rPr>
            </w:pPr>
            <w:r w:rsidRPr="00DA3084">
              <w:rPr>
                <w:rFonts w:ascii="宋体" w:eastAsia="宋体" w:hAnsi="宋体" w:cs="宋体"/>
                <w:kern w:val="0"/>
                <w:sz w:val="18"/>
                <w:szCs w:val="18"/>
              </w:rPr>
              <w:t> </w:t>
            </w:r>
          </w:p>
        </w:tc>
        <w:tc>
          <w:tcPr>
            <w:tcW w:w="1200" w:type="dxa"/>
            <w:vAlign w:val="center"/>
            <w:hideMark/>
          </w:tcPr>
          <w:p w:rsidR="00DA3084" w:rsidRPr="00DA3084" w:rsidRDefault="00DA3084" w:rsidP="00DA3084">
            <w:pPr>
              <w:widowControl/>
              <w:jc w:val="left"/>
              <w:rPr>
                <w:rFonts w:ascii="宋体" w:eastAsia="宋体" w:hAnsi="宋体" w:cs="宋体"/>
                <w:kern w:val="0"/>
                <w:sz w:val="18"/>
                <w:szCs w:val="18"/>
              </w:rPr>
            </w:pPr>
            <w:r w:rsidRPr="00DA308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A3084" w:rsidRPr="00DA3084" w:rsidRDefault="00DA3084" w:rsidP="00DA3084">
            <w:pPr>
              <w:widowControl/>
              <w:jc w:val="left"/>
              <w:rPr>
                <w:rFonts w:ascii="宋体" w:eastAsia="宋体" w:hAnsi="宋体" w:cs="宋体"/>
                <w:kern w:val="0"/>
                <w:sz w:val="18"/>
                <w:szCs w:val="18"/>
              </w:rPr>
            </w:pPr>
            <w:r w:rsidRPr="00DA308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A3084" w:rsidRPr="00DA3084" w:rsidRDefault="00DA3084" w:rsidP="00DA3084">
            <w:pPr>
              <w:widowControl/>
              <w:jc w:val="left"/>
              <w:rPr>
                <w:rFonts w:ascii="宋体" w:eastAsia="宋体" w:hAnsi="宋体" w:cs="宋体"/>
                <w:kern w:val="0"/>
                <w:sz w:val="18"/>
                <w:szCs w:val="18"/>
              </w:rPr>
            </w:pPr>
            <w:r w:rsidRPr="00DA308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A3084" w:rsidRPr="00DA3084" w:rsidRDefault="00DA3084" w:rsidP="00DA3084">
      <w:pPr>
        <w:widowControl/>
        <w:jc w:val="center"/>
        <w:rPr>
          <w:rFonts w:ascii="微软雅黑" w:eastAsia="微软雅黑" w:hAnsi="微软雅黑" w:cs="宋体"/>
          <w:color w:val="515151"/>
          <w:kern w:val="0"/>
          <w:sz w:val="18"/>
          <w:szCs w:val="18"/>
        </w:rPr>
      </w:pPr>
      <w:hyperlink r:id="rId11" w:tgtFrame="_blank" w:history="1">
        <w:r w:rsidRPr="00DA3084">
          <w:rPr>
            <w:rFonts w:ascii="微软雅黑" w:eastAsia="微软雅黑" w:hAnsi="微软雅黑" w:cs="宋体" w:hint="eastAsia"/>
            <w:color w:val="0000FF"/>
            <w:kern w:val="0"/>
            <w:sz w:val="18"/>
            <w:szCs w:val="18"/>
            <w:u w:val="single"/>
          </w:rPr>
          <w:t>关于我们</w:t>
        </w:r>
      </w:hyperlink>
      <w:r w:rsidRPr="00DA3084">
        <w:rPr>
          <w:rFonts w:ascii="微软雅黑" w:eastAsia="微软雅黑" w:hAnsi="微软雅黑" w:cs="宋体" w:hint="eastAsia"/>
          <w:color w:val="515151"/>
          <w:kern w:val="0"/>
          <w:sz w:val="18"/>
          <w:szCs w:val="18"/>
        </w:rPr>
        <w:t> - </w:t>
      </w:r>
      <w:hyperlink r:id="rId12" w:tgtFrame="_blank" w:history="1">
        <w:r w:rsidRPr="00DA3084">
          <w:rPr>
            <w:rFonts w:ascii="微软雅黑" w:eastAsia="微软雅黑" w:hAnsi="微软雅黑" w:cs="宋体" w:hint="eastAsia"/>
            <w:color w:val="0000FF"/>
            <w:kern w:val="0"/>
            <w:sz w:val="18"/>
            <w:szCs w:val="18"/>
            <w:u w:val="single"/>
          </w:rPr>
          <w:t>法律声明</w:t>
        </w:r>
      </w:hyperlink>
      <w:r w:rsidRPr="00DA3084">
        <w:rPr>
          <w:rFonts w:ascii="微软雅黑" w:eastAsia="微软雅黑" w:hAnsi="微软雅黑" w:cs="宋体" w:hint="eastAsia"/>
          <w:color w:val="515151"/>
          <w:kern w:val="0"/>
          <w:sz w:val="18"/>
          <w:szCs w:val="18"/>
        </w:rPr>
        <w:t> - </w:t>
      </w:r>
      <w:hyperlink r:id="rId13" w:tgtFrame="_blank" w:history="1">
        <w:r w:rsidRPr="00DA3084">
          <w:rPr>
            <w:rFonts w:ascii="微软雅黑" w:eastAsia="微软雅黑" w:hAnsi="微软雅黑" w:cs="宋体" w:hint="eastAsia"/>
            <w:color w:val="0000FF"/>
            <w:kern w:val="0"/>
            <w:sz w:val="18"/>
            <w:szCs w:val="18"/>
            <w:u w:val="single"/>
          </w:rPr>
          <w:t>联系我们</w:t>
        </w:r>
      </w:hyperlink>
    </w:p>
    <w:p w:rsidR="00DA3084" w:rsidRPr="00DA3084" w:rsidRDefault="00DA3084" w:rsidP="00DA3084">
      <w:pPr>
        <w:widowControl/>
        <w:jc w:val="center"/>
        <w:rPr>
          <w:rFonts w:ascii="微软雅黑" w:eastAsia="微软雅黑" w:hAnsi="微软雅黑" w:cs="宋体" w:hint="eastAsia"/>
          <w:color w:val="515151"/>
          <w:kern w:val="0"/>
          <w:sz w:val="18"/>
          <w:szCs w:val="18"/>
        </w:rPr>
      </w:pPr>
      <w:r w:rsidRPr="00DA3084">
        <w:rPr>
          <w:rFonts w:ascii="微软雅黑" w:eastAsia="微软雅黑" w:hAnsi="微软雅黑" w:cs="宋体" w:hint="eastAsia"/>
          <w:color w:val="515151"/>
          <w:kern w:val="0"/>
          <w:sz w:val="18"/>
          <w:szCs w:val="18"/>
        </w:rPr>
        <w:t>版权所有：中国证券监督管理委员会 京ICP备 05035542号</w:t>
      </w:r>
    </w:p>
    <w:p w:rsidR="00DA3084" w:rsidRPr="00DA3084" w:rsidRDefault="00DA3084" w:rsidP="00DA3084">
      <w:pPr>
        <w:widowControl/>
        <w:jc w:val="center"/>
        <w:rPr>
          <w:rFonts w:ascii="微软雅黑" w:eastAsia="微软雅黑" w:hAnsi="微软雅黑" w:cs="宋体" w:hint="eastAsia"/>
          <w:color w:val="515151"/>
          <w:kern w:val="0"/>
          <w:sz w:val="18"/>
          <w:szCs w:val="18"/>
        </w:rPr>
      </w:pPr>
      <w:r w:rsidRPr="00DA3084">
        <w:rPr>
          <w:rFonts w:ascii="微软雅黑" w:eastAsia="微软雅黑" w:hAnsi="微软雅黑" w:cs="宋体" w:hint="eastAsia"/>
          <w:color w:val="515151"/>
          <w:kern w:val="0"/>
          <w:sz w:val="18"/>
          <w:szCs w:val="18"/>
        </w:rPr>
        <w:t>地址：北京市西城区金融大街19号富凯大厦A座 邮编：100033</w:t>
      </w:r>
    </w:p>
    <w:p w:rsidR="00DA3084" w:rsidRPr="00DA3084" w:rsidRDefault="00DA3084" w:rsidP="00DA3084">
      <w:pPr>
        <w:widowControl/>
        <w:jc w:val="center"/>
        <w:rPr>
          <w:rFonts w:ascii="微软雅黑" w:eastAsia="微软雅黑" w:hAnsi="微软雅黑" w:cs="宋体" w:hint="eastAsia"/>
          <w:color w:val="515151"/>
          <w:kern w:val="0"/>
          <w:sz w:val="18"/>
          <w:szCs w:val="18"/>
        </w:rPr>
      </w:pPr>
      <w:r w:rsidRPr="00DA3084">
        <w:rPr>
          <w:rFonts w:ascii="微软雅黑" w:eastAsia="微软雅黑" w:hAnsi="微软雅黑" w:cs="宋体" w:hint="eastAsia"/>
          <w:color w:val="515151"/>
          <w:kern w:val="0"/>
          <w:sz w:val="18"/>
          <w:szCs w:val="18"/>
        </w:rPr>
        <w:t>建议使用IE5.5以上浏览器，分辨率1024*768</w:t>
      </w:r>
    </w:p>
    <w:p w:rsidR="00801F9F" w:rsidRPr="00DA3084" w:rsidRDefault="00801F9F"/>
    <w:sectPr w:rsidR="00801F9F" w:rsidRPr="00DA3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4"/>
    <w:rsid w:val="00801F9F"/>
    <w:rsid w:val="00DA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683E7-5DD9-4F8B-B2AB-2630FEF3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30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3084"/>
    <w:rPr>
      <w:b/>
      <w:bCs/>
    </w:rPr>
  </w:style>
  <w:style w:type="paragraph" w:customStyle="1" w:styleId="p0">
    <w:name w:val="p0"/>
    <w:basedOn w:val="a"/>
    <w:rsid w:val="00DA3084"/>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DA308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A3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35587">
      <w:bodyDiv w:val="1"/>
      <w:marLeft w:val="0"/>
      <w:marRight w:val="0"/>
      <w:marTop w:val="0"/>
      <w:marBottom w:val="0"/>
      <w:divBdr>
        <w:top w:val="none" w:sz="0" w:space="0" w:color="auto"/>
        <w:left w:val="none" w:sz="0" w:space="0" w:color="auto"/>
        <w:bottom w:val="none" w:sz="0" w:space="0" w:color="auto"/>
        <w:right w:val="none" w:sz="0" w:space="0" w:color="auto"/>
      </w:divBdr>
      <w:divsChild>
        <w:div w:id="294917217">
          <w:marLeft w:val="0"/>
          <w:marRight w:val="0"/>
          <w:marTop w:val="150"/>
          <w:marBottom w:val="150"/>
          <w:divBdr>
            <w:top w:val="none" w:sz="0" w:space="0" w:color="auto"/>
            <w:left w:val="none" w:sz="0" w:space="0" w:color="auto"/>
            <w:bottom w:val="none" w:sz="0" w:space="0" w:color="auto"/>
            <w:right w:val="none" w:sz="0" w:space="0" w:color="auto"/>
          </w:divBdr>
        </w:div>
        <w:div w:id="1462923162">
          <w:marLeft w:val="0"/>
          <w:marRight w:val="0"/>
          <w:marTop w:val="0"/>
          <w:marBottom w:val="0"/>
          <w:divBdr>
            <w:top w:val="single" w:sz="6" w:space="8" w:color="B5B5B5"/>
            <w:left w:val="single" w:sz="6" w:space="0" w:color="B5B5B5"/>
            <w:bottom w:val="single" w:sz="6" w:space="8" w:color="B5B5B5"/>
            <w:right w:val="single" w:sz="6" w:space="0" w:color="B5B5B5"/>
          </w:divBdr>
          <w:divsChild>
            <w:div w:id="1681157308">
              <w:marLeft w:val="0"/>
              <w:marRight w:val="0"/>
              <w:marTop w:val="0"/>
              <w:marBottom w:val="0"/>
              <w:divBdr>
                <w:top w:val="none" w:sz="0" w:space="0" w:color="auto"/>
                <w:left w:val="none" w:sz="0" w:space="0" w:color="auto"/>
                <w:bottom w:val="none" w:sz="0" w:space="0" w:color="auto"/>
                <w:right w:val="none" w:sz="0" w:space="0" w:color="auto"/>
              </w:divBdr>
            </w:div>
            <w:div w:id="116459161">
              <w:marLeft w:val="0"/>
              <w:marRight w:val="0"/>
              <w:marTop w:val="0"/>
              <w:marBottom w:val="0"/>
              <w:divBdr>
                <w:top w:val="none" w:sz="0" w:space="0" w:color="auto"/>
                <w:left w:val="none" w:sz="0" w:space="0" w:color="auto"/>
                <w:bottom w:val="none" w:sz="0" w:space="0" w:color="auto"/>
                <w:right w:val="none" w:sz="0" w:space="0" w:color="auto"/>
              </w:divBdr>
            </w:div>
            <w:div w:id="2042901386">
              <w:marLeft w:val="0"/>
              <w:marRight w:val="0"/>
              <w:marTop w:val="120"/>
              <w:marBottom w:val="120"/>
              <w:divBdr>
                <w:top w:val="none" w:sz="0" w:space="0" w:color="auto"/>
                <w:left w:val="none" w:sz="0" w:space="0" w:color="auto"/>
                <w:bottom w:val="none" w:sz="0" w:space="0" w:color="auto"/>
                <w:right w:val="none" w:sz="0" w:space="0" w:color="auto"/>
              </w:divBdr>
            </w:div>
          </w:divsChild>
        </w:div>
        <w:div w:id="1690402559">
          <w:marLeft w:val="0"/>
          <w:marRight w:val="0"/>
          <w:marTop w:val="120"/>
          <w:marBottom w:val="0"/>
          <w:divBdr>
            <w:top w:val="none" w:sz="0" w:space="0" w:color="auto"/>
            <w:left w:val="none" w:sz="0" w:space="0" w:color="auto"/>
            <w:bottom w:val="none" w:sz="0" w:space="0" w:color="auto"/>
            <w:right w:val="none" w:sz="0" w:space="0" w:color="auto"/>
          </w:divBdr>
          <w:divsChild>
            <w:div w:id="213279122">
              <w:marLeft w:val="0"/>
              <w:marRight w:val="0"/>
              <w:marTop w:val="60"/>
              <w:marBottom w:val="0"/>
              <w:divBdr>
                <w:top w:val="none" w:sz="0" w:space="0" w:color="auto"/>
                <w:left w:val="none" w:sz="0" w:space="0" w:color="auto"/>
                <w:bottom w:val="none" w:sz="0" w:space="0" w:color="auto"/>
                <w:right w:val="none" w:sz="0" w:space="0" w:color="auto"/>
              </w:divBdr>
            </w:div>
            <w:div w:id="842090476">
              <w:marLeft w:val="0"/>
              <w:marRight w:val="0"/>
              <w:marTop w:val="60"/>
              <w:marBottom w:val="0"/>
              <w:divBdr>
                <w:top w:val="none" w:sz="0" w:space="0" w:color="auto"/>
                <w:left w:val="none" w:sz="0" w:space="0" w:color="auto"/>
                <w:bottom w:val="none" w:sz="0" w:space="0" w:color="auto"/>
                <w:right w:val="none" w:sz="0" w:space="0" w:color="auto"/>
              </w:divBdr>
            </w:div>
            <w:div w:id="1238784198">
              <w:marLeft w:val="0"/>
              <w:marRight w:val="0"/>
              <w:marTop w:val="60"/>
              <w:marBottom w:val="0"/>
              <w:divBdr>
                <w:top w:val="none" w:sz="0" w:space="0" w:color="auto"/>
                <w:left w:val="none" w:sz="0" w:space="0" w:color="auto"/>
                <w:bottom w:val="none" w:sz="0" w:space="0" w:color="auto"/>
                <w:right w:val="none" w:sz="0" w:space="0" w:color="auto"/>
              </w:divBdr>
            </w:div>
            <w:div w:id="13251654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5/t20160504_29682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2020-02-17T14:52:00Z</dcterms:created>
  <dcterms:modified xsi:type="dcterms:W3CDTF">2020-02-17T14:52:00Z</dcterms:modified>
</cp:coreProperties>
</file>