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337" w:rsidRPr="001F1337" w:rsidRDefault="001F1337" w:rsidP="001F1337">
      <w:pPr>
        <w:widowControl/>
        <w:jc w:val="center"/>
        <w:rPr>
          <w:rFonts w:ascii="微软雅黑" w:eastAsia="微软雅黑" w:hAnsi="微软雅黑" w:cs="宋体"/>
          <w:color w:val="000000"/>
          <w:kern w:val="0"/>
          <w:sz w:val="18"/>
          <w:szCs w:val="18"/>
        </w:rPr>
      </w:pPr>
      <w:r w:rsidRPr="001F1337">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1F1337" w:rsidRPr="001F1337" w:rsidTr="001F133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F1337" w:rsidRPr="001F1337">
              <w:trPr>
                <w:tblCellSpacing w:w="0" w:type="dxa"/>
              </w:trPr>
              <w:tc>
                <w:tcPr>
                  <w:tcW w:w="2500" w:type="pct"/>
                  <w:tcMar>
                    <w:top w:w="30" w:type="dxa"/>
                    <w:left w:w="30" w:type="dxa"/>
                    <w:bottom w:w="30" w:type="dxa"/>
                    <w:right w:w="30" w:type="dxa"/>
                  </w:tcMar>
                  <w:hideMark/>
                </w:tcPr>
                <w:p w:rsidR="001F1337" w:rsidRPr="001F1337" w:rsidRDefault="001F1337" w:rsidP="001F1337">
                  <w:pPr>
                    <w:widowControl/>
                    <w:jc w:val="left"/>
                    <w:rPr>
                      <w:rFonts w:ascii="宋体" w:eastAsia="宋体" w:hAnsi="宋体" w:cs="宋体" w:hint="eastAsia"/>
                      <w:color w:val="686868"/>
                      <w:kern w:val="0"/>
                      <w:sz w:val="18"/>
                      <w:szCs w:val="18"/>
                    </w:rPr>
                  </w:pPr>
                  <w:r w:rsidRPr="001F1337">
                    <w:rPr>
                      <w:rFonts w:ascii="宋体" w:eastAsia="宋体" w:hAnsi="宋体" w:cs="宋体"/>
                      <w:b/>
                      <w:bCs/>
                      <w:color w:val="686868"/>
                      <w:kern w:val="0"/>
                      <w:sz w:val="18"/>
                      <w:szCs w:val="18"/>
                    </w:rPr>
                    <w:t>索 引 号:</w:t>
                  </w:r>
                  <w:r w:rsidRPr="001F1337">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1F1337" w:rsidRPr="001F1337" w:rsidRDefault="001F1337" w:rsidP="001F1337">
                  <w:pPr>
                    <w:widowControl/>
                    <w:jc w:val="left"/>
                    <w:rPr>
                      <w:rFonts w:ascii="宋体" w:eastAsia="宋体" w:hAnsi="宋体" w:cs="宋体"/>
                      <w:color w:val="686868"/>
                      <w:kern w:val="0"/>
                      <w:sz w:val="18"/>
                      <w:szCs w:val="18"/>
                    </w:rPr>
                  </w:pPr>
                  <w:r w:rsidRPr="001F1337">
                    <w:rPr>
                      <w:rFonts w:ascii="宋体" w:eastAsia="宋体" w:hAnsi="宋体" w:cs="宋体"/>
                      <w:b/>
                      <w:bCs/>
                      <w:color w:val="686868"/>
                      <w:kern w:val="0"/>
                      <w:sz w:val="18"/>
                      <w:szCs w:val="18"/>
                    </w:rPr>
                    <w:t>分类:</w:t>
                  </w:r>
                  <w:r w:rsidRPr="001F1337">
                    <w:rPr>
                      <w:rFonts w:ascii="宋体" w:eastAsia="宋体" w:hAnsi="宋体" w:cs="宋体"/>
                      <w:color w:val="686868"/>
                      <w:kern w:val="0"/>
                      <w:sz w:val="18"/>
                      <w:szCs w:val="18"/>
                    </w:rPr>
                    <w:t> 行政处罚 ; 行政处罚决定</w:t>
                  </w:r>
                </w:p>
              </w:tc>
            </w:tr>
          </w:tbl>
          <w:p w:rsidR="001F1337" w:rsidRPr="001F1337" w:rsidRDefault="001F1337" w:rsidP="001F1337">
            <w:pPr>
              <w:widowControl/>
              <w:jc w:val="left"/>
              <w:rPr>
                <w:rFonts w:ascii="宋体" w:eastAsia="宋体" w:hAnsi="宋体" w:cs="宋体"/>
                <w:color w:val="686868"/>
                <w:kern w:val="0"/>
                <w:sz w:val="18"/>
                <w:szCs w:val="18"/>
              </w:rPr>
            </w:pPr>
          </w:p>
        </w:tc>
      </w:tr>
      <w:tr w:rsidR="001F1337" w:rsidRPr="001F1337" w:rsidTr="001F133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F1337" w:rsidRPr="001F1337">
              <w:trPr>
                <w:tblCellSpacing w:w="0" w:type="dxa"/>
              </w:trPr>
              <w:tc>
                <w:tcPr>
                  <w:tcW w:w="2500" w:type="pct"/>
                  <w:tcMar>
                    <w:top w:w="30" w:type="dxa"/>
                    <w:left w:w="30" w:type="dxa"/>
                    <w:bottom w:w="30" w:type="dxa"/>
                    <w:right w:w="30" w:type="dxa"/>
                  </w:tcMar>
                  <w:hideMark/>
                </w:tcPr>
                <w:p w:rsidR="001F1337" w:rsidRPr="001F1337" w:rsidRDefault="001F1337" w:rsidP="001F1337">
                  <w:pPr>
                    <w:widowControl/>
                    <w:jc w:val="left"/>
                    <w:rPr>
                      <w:rFonts w:ascii="宋体" w:eastAsia="宋体" w:hAnsi="宋体" w:cs="宋体"/>
                      <w:color w:val="686868"/>
                      <w:kern w:val="0"/>
                      <w:sz w:val="18"/>
                      <w:szCs w:val="18"/>
                    </w:rPr>
                  </w:pPr>
                  <w:r w:rsidRPr="001F1337">
                    <w:rPr>
                      <w:rFonts w:ascii="宋体" w:eastAsia="宋体" w:hAnsi="宋体" w:cs="宋体"/>
                      <w:b/>
                      <w:bCs/>
                      <w:color w:val="686868"/>
                      <w:kern w:val="0"/>
                      <w:sz w:val="18"/>
                      <w:szCs w:val="18"/>
                    </w:rPr>
                    <w:t>发布机构:</w:t>
                  </w:r>
                  <w:r w:rsidRPr="001F133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1F1337" w:rsidRPr="001F1337" w:rsidRDefault="001F1337" w:rsidP="001F1337">
                  <w:pPr>
                    <w:widowControl/>
                    <w:jc w:val="left"/>
                    <w:rPr>
                      <w:rFonts w:ascii="宋体" w:eastAsia="宋体" w:hAnsi="宋体" w:cs="宋体"/>
                      <w:color w:val="686868"/>
                      <w:kern w:val="0"/>
                      <w:sz w:val="18"/>
                      <w:szCs w:val="18"/>
                    </w:rPr>
                  </w:pPr>
                  <w:r w:rsidRPr="001F1337">
                    <w:rPr>
                      <w:rFonts w:ascii="宋体" w:eastAsia="宋体" w:hAnsi="宋体" w:cs="宋体"/>
                      <w:b/>
                      <w:bCs/>
                      <w:color w:val="686868"/>
                      <w:kern w:val="0"/>
                      <w:sz w:val="18"/>
                      <w:szCs w:val="18"/>
                    </w:rPr>
                    <w:t>发文日期:</w:t>
                  </w:r>
                  <w:r w:rsidRPr="001F1337">
                    <w:rPr>
                      <w:rFonts w:ascii="宋体" w:eastAsia="宋体" w:hAnsi="宋体" w:cs="宋体"/>
                      <w:color w:val="686868"/>
                      <w:kern w:val="0"/>
                      <w:sz w:val="18"/>
                      <w:szCs w:val="18"/>
                    </w:rPr>
                    <w:t> 2016年05月30日</w:t>
                  </w:r>
                </w:p>
              </w:tc>
            </w:tr>
          </w:tbl>
          <w:p w:rsidR="001F1337" w:rsidRPr="001F1337" w:rsidRDefault="001F1337" w:rsidP="001F1337">
            <w:pPr>
              <w:widowControl/>
              <w:jc w:val="left"/>
              <w:rPr>
                <w:rFonts w:ascii="宋体" w:eastAsia="宋体" w:hAnsi="宋体" w:cs="宋体"/>
                <w:color w:val="686868"/>
                <w:kern w:val="0"/>
                <w:sz w:val="18"/>
                <w:szCs w:val="18"/>
              </w:rPr>
            </w:pPr>
          </w:p>
        </w:tc>
      </w:tr>
      <w:tr w:rsidR="001F1337" w:rsidRPr="001F1337" w:rsidTr="001F1337">
        <w:trPr>
          <w:tblCellSpacing w:w="0" w:type="dxa"/>
          <w:jc w:val="center"/>
        </w:trPr>
        <w:tc>
          <w:tcPr>
            <w:tcW w:w="0" w:type="auto"/>
            <w:tcMar>
              <w:top w:w="30" w:type="dxa"/>
              <w:left w:w="30" w:type="dxa"/>
              <w:bottom w:w="30" w:type="dxa"/>
              <w:right w:w="30" w:type="dxa"/>
            </w:tcMar>
            <w:hideMark/>
          </w:tcPr>
          <w:p w:rsidR="001F1337" w:rsidRPr="001F1337" w:rsidRDefault="001F1337" w:rsidP="001F1337">
            <w:pPr>
              <w:widowControl/>
              <w:jc w:val="left"/>
              <w:rPr>
                <w:rFonts w:ascii="宋体" w:eastAsia="宋体" w:hAnsi="宋体" w:cs="宋体"/>
                <w:color w:val="686868"/>
                <w:kern w:val="0"/>
                <w:sz w:val="18"/>
                <w:szCs w:val="18"/>
              </w:rPr>
            </w:pPr>
            <w:r w:rsidRPr="001F1337">
              <w:rPr>
                <w:rFonts w:ascii="宋体" w:eastAsia="宋体" w:hAnsi="宋体" w:cs="宋体"/>
                <w:b/>
                <w:bCs/>
                <w:color w:val="686868"/>
                <w:kern w:val="0"/>
                <w:sz w:val="18"/>
                <w:szCs w:val="18"/>
              </w:rPr>
              <w:t>名　　称:</w:t>
            </w:r>
            <w:r w:rsidRPr="001F1337">
              <w:rPr>
                <w:rFonts w:ascii="宋体" w:eastAsia="宋体" w:hAnsi="宋体" w:cs="宋体"/>
                <w:color w:val="686868"/>
                <w:kern w:val="0"/>
                <w:sz w:val="18"/>
                <w:szCs w:val="18"/>
              </w:rPr>
              <w:t> 中国证监会行政处罚决定书（申启永）</w:t>
            </w:r>
          </w:p>
        </w:tc>
      </w:tr>
      <w:tr w:rsidR="001F1337" w:rsidRPr="001F1337" w:rsidTr="001F133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F1337" w:rsidRPr="001F1337">
              <w:trPr>
                <w:tblCellSpacing w:w="0" w:type="dxa"/>
              </w:trPr>
              <w:tc>
                <w:tcPr>
                  <w:tcW w:w="2500" w:type="pct"/>
                  <w:tcMar>
                    <w:top w:w="30" w:type="dxa"/>
                    <w:left w:w="30" w:type="dxa"/>
                    <w:bottom w:w="30" w:type="dxa"/>
                    <w:right w:w="30" w:type="dxa"/>
                  </w:tcMar>
                  <w:hideMark/>
                </w:tcPr>
                <w:p w:rsidR="001F1337" w:rsidRPr="001F1337" w:rsidRDefault="001F1337" w:rsidP="001F1337">
                  <w:pPr>
                    <w:widowControl/>
                    <w:jc w:val="left"/>
                    <w:rPr>
                      <w:rFonts w:ascii="宋体" w:eastAsia="宋体" w:hAnsi="宋体" w:cs="宋体"/>
                      <w:color w:val="686868"/>
                      <w:kern w:val="0"/>
                      <w:sz w:val="18"/>
                      <w:szCs w:val="18"/>
                    </w:rPr>
                  </w:pPr>
                  <w:r w:rsidRPr="001F1337">
                    <w:rPr>
                      <w:rFonts w:ascii="宋体" w:eastAsia="宋体" w:hAnsi="宋体" w:cs="宋体"/>
                      <w:b/>
                      <w:bCs/>
                      <w:color w:val="686868"/>
                      <w:kern w:val="0"/>
                      <w:sz w:val="18"/>
                      <w:szCs w:val="18"/>
                    </w:rPr>
                    <w:t>文　　号:</w:t>
                  </w:r>
                  <w:r w:rsidRPr="001F1337">
                    <w:rPr>
                      <w:rFonts w:ascii="宋体" w:eastAsia="宋体" w:hAnsi="宋体" w:cs="宋体"/>
                      <w:color w:val="686868"/>
                      <w:kern w:val="0"/>
                      <w:sz w:val="18"/>
                      <w:szCs w:val="18"/>
                    </w:rPr>
                    <w:t> </w:t>
                  </w:r>
                  <w:bookmarkStart w:id="0" w:name="_GoBack"/>
                  <w:r w:rsidRPr="001F1337">
                    <w:rPr>
                      <w:rFonts w:ascii="宋体" w:eastAsia="宋体" w:hAnsi="宋体" w:cs="宋体"/>
                      <w:color w:val="686868"/>
                      <w:kern w:val="0"/>
                      <w:sz w:val="18"/>
                      <w:szCs w:val="18"/>
                    </w:rPr>
                    <w:t>〔2016〕74号</w:t>
                  </w:r>
                  <w:bookmarkEnd w:id="0"/>
                </w:p>
              </w:tc>
              <w:tc>
                <w:tcPr>
                  <w:tcW w:w="0" w:type="auto"/>
                  <w:tcMar>
                    <w:top w:w="30" w:type="dxa"/>
                    <w:left w:w="30" w:type="dxa"/>
                    <w:bottom w:w="30" w:type="dxa"/>
                    <w:right w:w="30" w:type="dxa"/>
                  </w:tcMar>
                  <w:hideMark/>
                </w:tcPr>
                <w:p w:rsidR="001F1337" w:rsidRPr="001F1337" w:rsidRDefault="001F1337" w:rsidP="001F1337">
                  <w:pPr>
                    <w:widowControl/>
                    <w:jc w:val="left"/>
                    <w:rPr>
                      <w:rFonts w:ascii="宋体" w:eastAsia="宋体" w:hAnsi="宋体" w:cs="宋体"/>
                      <w:color w:val="686868"/>
                      <w:kern w:val="0"/>
                      <w:sz w:val="18"/>
                      <w:szCs w:val="18"/>
                    </w:rPr>
                  </w:pPr>
                  <w:r w:rsidRPr="001F1337">
                    <w:rPr>
                      <w:rFonts w:ascii="宋体" w:eastAsia="宋体" w:hAnsi="宋体" w:cs="宋体"/>
                      <w:b/>
                      <w:bCs/>
                      <w:color w:val="686868"/>
                      <w:kern w:val="0"/>
                      <w:sz w:val="18"/>
                      <w:szCs w:val="18"/>
                    </w:rPr>
                    <w:t>主 题 词:</w:t>
                  </w:r>
                </w:p>
              </w:tc>
            </w:tr>
          </w:tbl>
          <w:p w:rsidR="001F1337" w:rsidRPr="001F1337" w:rsidRDefault="001F1337" w:rsidP="001F1337">
            <w:pPr>
              <w:widowControl/>
              <w:jc w:val="left"/>
              <w:rPr>
                <w:rFonts w:ascii="宋体" w:eastAsia="宋体" w:hAnsi="宋体" w:cs="宋体"/>
                <w:color w:val="686868"/>
                <w:kern w:val="0"/>
                <w:sz w:val="18"/>
                <w:szCs w:val="18"/>
              </w:rPr>
            </w:pPr>
          </w:p>
        </w:tc>
      </w:tr>
    </w:tbl>
    <w:p w:rsidR="001F1337" w:rsidRPr="001F1337" w:rsidRDefault="001F1337" w:rsidP="001F1337">
      <w:pPr>
        <w:widowControl/>
        <w:jc w:val="center"/>
        <w:rPr>
          <w:rFonts w:ascii="微软雅黑" w:eastAsia="微软雅黑" w:hAnsi="微软雅黑" w:cs="宋体"/>
          <w:color w:val="000000"/>
          <w:kern w:val="0"/>
          <w:sz w:val="18"/>
          <w:szCs w:val="18"/>
        </w:rPr>
      </w:pPr>
      <w:r w:rsidRPr="001F1337">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1F1337" w:rsidRPr="001F1337" w:rsidRDefault="001F1337" w:rsidP="001F1337">
      <w:pPr>
        <w:widowControl/>
        <w:shd w:val="clear" w:color="auto" w:fill="FFFFFF"/>
        <w:spacing w:after="240"/>
        <w:jc w:val="center"/>
        <w:rPr>
          <w:rFonts w:ascii="微软雅黑" w:eastAsia="微软雅黑" w:hAnsi="微软雅黑" w:cs="宋体" w:hint="eastAsia"/>
          <w:color w:val="000000"/>
          <w:kern w:val="0"/>
          <w:sz w:val="18"/>
          <w:szCs w:val="18"/>
        </w:rPr>
      </w:pPr>
      <w:r w:rsidRPr="001F1337">
        <w:rPr>
          <w:rFonts w:ascii="微软雅黑" w:eastAsia="微软雅黑" w:hAnsi="微软雅黑" w:cs="宋体" w:hint="eastAsia"/>
          <w:color w:val="000000"/>
          <w:kern w:val="0"/>
          <w:sz w:val="18"/>
          <w:szCs w:val="18"/>
        </w:rPr>
        <w:br/>
      </w:r>
      <w:r w:rsidRPr="001F1337">
        <w:rPr>
          <w:rFonts w:ascii="黑体" w:eastAsia="黑体" w:hAnsi="黑体" w:cs="宋体" w:hint="eastAsia"/>
          <w:b/>
          <w:bCs/>
          <w:color w:val="FF0000"/>
          <w:kern w:val="0"/>
          <w:sz w:val="36"/>
          <w:szCs w:val="36"/>
        </w:rPr>
        <w:t>中国证监会行政处罚决定书（申启永）</w:t>
      </w:r>
    </w:p>
    <w:p w:rsidR="001F1337" w:rsidRPr="001F1337" w:rsidRDefault="001F1337" w:rsidP="001F1337">
      <w:pPr>
        <w:widowControl/>
        <w:shd w:val="clear" w:color="auto" w:fill="FFFFFF"/>
        <w:spacing w:line="360" w:lineRule="atLeast"/>
        <w:jc w:val="center"/>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〔2016〕74号</w:t>
      </w:r>
    </w:p>
    <w:p w:rsidR="001F1337" w:rsidRPr="001F1337" w:rsidRDefault="001F1337" w:rsidP="001F1337">
      <w:pPr>
        <w:widowControl/>
        <w:shd w:val="clear" w:color="auto" w:fill="FFFFFF"/>
        <w:spacing w:line="360" w:lineRule="atLeast"/>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 </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当事人：申启永，男，1978年2月出生，住址：北京市海淀区。</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依据《中华人民共和国证券法》（以下简称《证券法》）的有关规定，我会对申启永内幕交易北京绵世投资集团股份有限公司（以下简称</w:t>
      </w:r>
      <w:proofErr w:type="gramStart"/>
      <w:r w:rsidRPr="001F1337">
        <w:rPr>
          <w:rFonts w:ascii="宋体" w:eastAsia="宋体" w:hAnsi="宋体" w:cs="宋体" w:hint="eastAsia"/>
          <w:color w:val="000000"/>
          <w:kern w:val="0"/>
          <w:szCs w:val="21"/>
        </w:rPr>
        <w:t>绵世</w:t>
      </w:r>
      <w:proofErr w:type="gramEnd"/>
      <w:r w:rsidRPr="001F1337">
        <w:rPr>
          <w:rFonts w:ascii="宋体" w:eastAsia="宋体" w:hAnsi="宋体" w:cs="宋体" w:hint="eastAsia"/>
          <w:color w:val="000000"/>
          <w:kern w:val="0"/>
          <w:szCs w:val="21"/>
        </w:rPr>
        <w:t>股份）股票的行为进行了立案调查、审理，并依法向当事人告知了</w:t>
      </w:r>
      <w:proofErr w:type="gramStart"/>
      <w:r w:rsidRPr="001F1337">
        <w:rPr>
          <w:rFonts w:ascii="宋体" w:eastAsia="宋体" w:hAnsi="宋体" w:cs="宋体" w:hint="eastAsia"/>
          <w:color w:val="000000"/>
          <w:kern w:val="0"/>
          <w:szCs w:val="21"/>
        </w:rPr>
        <w:t>作出</w:t>
      </w:r>
      <w:proofErr w:type="gramEnd"/>
      <w:r w:rsidRPr="001F1337">
        <w:rPr>
          <w:rFonts w:ascii="宋体" w:eastAsia="宋体" w:hAnsi="宋体" w:cs="宋体" w:hint="eastAsia"/>
          <w:color w:val="000000"/>
          <w:kern w:val="0"/>
          <w:szCs w:val="21"/>
        </w:rPr>
        <w:t>行政处罚的事实、理由、依据及当事人依法享有的权利。当事人提出陈述、申辩意见，并要求听证。我会于2016年3月30日举行听证会，听取了当事人的陈述、申辩意见。本案现已调查、审理终结。</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经查明，</w:t>
      </w:r>
      <w:proofErr w:type="gramStart"/>
      <w:r w:rsidRPr="001F1337">
        <w:rPr>
          <w:rFonts w:ascii="宋体" w:eastAsia="宋体" w:hAnsi="宋体" w:cs="宋体" w:hint="eastAsia"/>
          <w:color w:val="000000"/>
          <w:kern w:val="0"/>
          <w:szCs w:val="21"/>
        </w:rPr>
        <w:t>申启永存</w:t>
      </w:r>
      <w:proofErr w:type="gramEnd"/>
      <w:r w:rsidRPr="001F1337">
        <w:rPr>
          <w:rFonts w:ascii="宋体" w:eastAsia="宋体" w:hAnsi="宋体" w:cs="宋体" w:hint="eastAsia"/>
          <w:color w:val="000000"/>
          <w:kern w:val="0"/>
          <w:szCs w:val="21"/>
        </w:rPr>
        <w:t>在以下违法事实：</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一、内幕信息的形成、公开过程</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青岛康平铁路玻璃钢有限公司（以下简称青岛康平）实际控制人孙某正于2013年和中国</w:t>
      </w:r>
      <w:proofErr w:type="gramStart"/>
      <w:r w:rsidRPr="001F1337">
        <w:rPr>
          <w:rFonts w:ascii="宋体" w:eastAsia="宋体" w:hAnsi="宋体" w:cs="宋体" w:hint="eastAsia"/>
          <w:color w:val="000000"/>
          <w:kern w:val="0"/>
          <w:szCs w:val="21"/>
        </w:rPr>
        <w:t>南车集团</w:t>
      </w:r>
      <w:proofErr w:type="gramEnd"/>
      <w:r w:rsidRPr="001F1337">
        <w:rPr>
          <w:rFonts w:ascii="宋体" w:eastAsia="宋体" w:hAnsi="宋体" w:cs="宋体" w:hint="eastAsia"/>
          <w:color w:val="000000"/>
          <w:kern w:val="0"/>
          <w:szCs w:val="21"/>
        </w:rPr>
        <w:t>商议转让青岛康平。中国</w:t>
      </w:r>
      <w:proofErr w:type="gramStart"/>
      <w:r w:rsidRPr="001F1337">
        <w:rPr>
          <w:rFonts w:ascii="宋体" w:eastAsia="宋体" w:hAnsi="宋体" w:cs="宋体" w:hint="eastAsia"/>
          <w:color w:val="000000"/>
          <w:kern w:val="0"/>
          <w:szCs w:val="21"/>
        </w:rPr>
        <w:t>南车集团</w:t>
      </w:r>
      <w:proofErr w:type="gramEnd"/>
      <w:r w:rsidRPr="001F1337">
        <w:rPr>
          <w:rFonts w:ascii="宋体" w:eastAsia="宋体" w:hAnsi="宋体" w:cs="宋体" w:hint="eastAsia"/>
          <w:color w:val="000000"/>
          <w:kern w:val="0"/>
          <w:szCs w:val="21"/>
        </w:rPr>
        <w:t>开始协助寻找潜在收购对象。</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2014年4月底，孙某正来北京看病期间与</w:t>
      </w:r>
      <w:proofErr w:type="gramStart"/>
      <w:r w:rsidRPr="001F1337">
        <w:rPr>
          <w:rFonts w:ascii="宋体" w:eastAsia="宋体" w:hAnsi="宋体" w:cs="宋体" w:hint="eastAsia"/>
          <w:color w:val="000000"/>
          <w:kern w:val="0"/>
          <w:szCs w:val="21"/>
        </w:rPr>
        <w:t>绵世</w:t>
      </w:r>
      <w:proofErr w:type="gramEnd"/>
      <w:r w:rsidRPr="001F1337">
        <w:rPr>
          <w:rFonts w:ascii="宋体" w:eastAsia="宋体" w:hAnsi="宋体" w:cs="宋体" w:hint="eastAsia"/>
          <w:color w:val="000000"/>
          <w:kern w:val="0"/>
          <w:szCs w:val="21"/>
        </w:rPr>
        <w:t>股份董事长郑某见面。双方达成初步意向，青岛康平估价2亿元，</w:t>
      </w:r>
      <w:proofErr w:type="gramStart"/>
      <w:r w:rsidRPr="001F1337">
        <w:rPr>
          <w:rFonts w:ascii="宋体" w:eastAsia="宋体" w:hAnsi="宋体" w:cs="宋体" w:hint="eastAsia"/>
          <w:color w:val="000000"/>
          <w:kern w:val="0"/>
          <w:szCs w:val="21"/>
        </w:rPr>
        <w:t>中国南车占</w:t>
      </w:r>
      <w:proofErr w:type="gramEnd"/>
      <w:r w:rsidRPr="001F1337">
        <w:rPr>
          <w:rFonts w:ascii="宋体" w:eastAsia="宋体" w:hAnsi="宋体" w:cs="宋体" w:hint="eastAsia"/>
          <w:color w:val="000000"/>
          <w:kern w:val="0"/>
          <w:szCs w:val="21"/>
        </w:rPr>
        <w:t>20%，</w:t>
      </w:r>
      <w:proofErr w:type="gramStart"/>
      <w:r w:rsidRPr="001F1337">
        <w:rPr>
          <w:rFonts w:ascii="宋体" w:eastAsia="宋体" w:hAnsi="宋体" w:cs="宋体" w:hint="eastAsia"/>
          <w:color w:val="000000"/>
          <w:kern w:val="0"/>
          <w:szCs w:val="21"/>
        </w:rPr>
        <w:t>绵世</w:t>
      </w:r>
      <w:proofErr w:type="gramEnd"/>
      <w:r w:rsidRPr="001F1337">
        <w:rPr>
          <w:rFonts w:ascii="宋体" w:eastAsia="宋体" w:hAnsi="宋体" w:cs="宋体" w:hint="eastAsia"/>
          <w:color w:val="000000"/>
          <w:kern w:val="0"/>
          <w:szCs w:val="21"/>
        </w:rPr>
        <w:t>股份控股。</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2014年5月19日，郑某指定</w:t>
      </w:r>
      <w:proofErr w:type="gramStart"/>
      <w:r w:rsidRPr="001F1337">
        <w:rPr>
          <w:rFonts w:ascii="宋体" w:eastAsia="宋体" w:hAnsi="宋体" w:cs="宋体" w:hint="eastAsia"/>
          <w:color w:val="000000"/>
          <w:kern w:val="0"/>
          <w:szCs w:val="21"/>
        </w:rPr>
        <w:t>绵世</w:t>
      </w:r>
      <w:proofErr w:type="gramEnd"/>
      <w:r w:rsidRPr="001F1337">
        <w:rPr>
          <w:rFonts w:ascii="宋体" w:eastAsia="宋体" w:hAnsi="宋体" w:cs="宋体" w:hint="eastAsia"/>
          <w:color w:val="000000"/>
          <w:kern w:val="0"/>
          <w:szCs w:val="21"/>
        </w:rPr>
        <w:t>股份副总经理张某开展对青岛康平的尽职调查。采取估值2亿元，</w:t>
      </w:r>
      <w:proofErr w:type="gramStart"/>
      <w:r w:rsidRPr="001F1337">
        <w:rPr>
          <w:rFonts w:ascii="宋体" w:eastAsia="宋体" w:hAnsi="宋体" w:cs="宋体" w:hint="eastAsia"/>
          <w:color w:val="000000"/>
          <w:kern w:val="0"/>
          <w:szCs w:val="21"/>
        </w:rPr>
        <w:t>中国南车现金</w:t>
      </w:r>
      <w:proofErr w:type="gramEnd"/>
      <w:r w:rsidRPr="001F1337">
        <w:rPr>
          <w:rFonts w:ascii="宋体" w:eastAsia="宋体" w:hAnsi="宋体" w:cs="宋体" w:hint="eastAsia"/>
          <w:color w:val="000000"/>
          <w:kern w:val="0"/>
          <w:szCs w:val="21"/>
        </w:rPr>
        <w:t>4000万占股20%，</w:t>
      </w:r>
      <w:proofErr w:type="gramStart"/>
      <w:r w:rsidRPr="001F1337">
        <w:rPr>
          <w:rFonts w:ascii="宋体" w:eastAsia="宋体" w:hAnsi="宋体" w:cs="宋体" w:hint="eastAsia"/>
          <w:color w:val="000000"/>
          <w:kern w:val="0"/>
          <w:szCs w:val="21"/>
        </w:rPr>
        <w:t>绵世</w:t>
      </w:r>
      <w:proofErr w:type="gramEnd"/>
      <w:r w:rsidRPr="001F1337">
        <w:rPr>
          <w:rFonts w:ascii="宋体" w:eastAsia="宋体" w:hAnsi="宋体" w:cs="宋体" w:hint="eastAsia"/>
          <w:color w:val="000000"/>
          <w:kern w:val="0"/>
          <w:szCs w:val="21"/>
        </w:rPr>
        <w:t>股份以增发股票和支付现金方式控股的收购方式。</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2014年8月5日，</w:t>
      </w:r>
      <w:proofErr w:type="gramStart"/>
      <w:r w:rsidRPr="001F1337">
        <w:rPr>
          <w:rFonts w:ascii="宋体" w:eastAsia="宋体" w:hAnsi="宋体" w:cs="宋体" w:hint="eastAsia"/>
          <w:color w:val="000000"/>
          <w:kern w:val="0"/>
          <w:szCs w:val="21"/>
        </w:rPr>
        <w:t>绵世</w:t>
      </w:r>
      <w:proofErr w:type="gramEnd"/>
      <w:r w:rsidRPr="001F1337">
        <w:rPr>
          <w:rFonts w:ascii="宋体" w:eastAsia="宋体" w:hAnsi="宋体" w:cs="宋体" w:hint="eastAsia"/>
          <w:color w:val="000000"/>
          <w:kern w:val="0"/>
          <w:szCs w:val="21"/>
        </w:rPr>
        <w:t>股份与</w:t>
      </w:r>
      <w:proofErr w:type="gramStart"/>
      <w:r w:rsidRPr="001F1337">
        <w:rPr>
          <w:rFonts w:ascii="宋体" w:eastAsia="宋体" w:hAnsi="宋体" w:cs="宋体" w:hint="eastAsia"/>
          <w:color w:val="000000"/>
          <w:kern w:val="0"/>
          <w:szCs w:val="21"/>
        </w:rPr>
        <w:t>浙商证券</w:t>
      </w:r>
      <w:proofErr w:type="gramEnd"/>
      <w:r w:rsidRPr="001F1337">
        <w:rPr>
          <w:rFonts w:ascii="宋体" w:eastAsia="宋体" w:hAnsi="宋体" w:cs="宋体" w:hint="eastAsia"/>
          <w:color w:val="000000"/>
          <w:kern w:val="0"/>
          <w:szCs w:val="21"/>
        </w:rPr>
        <w:t>洽谈收购青岛康平项目。</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2014年9月10日，</w:t>
      </w:r>
      <w:proofErr w:type="gramStart"/>
      <w:r w:rsidRPr="001F1337">
        <w:rPr>
          <w:rFonts w:ascii="宋体" w:eastAsia="宋体" w:hAnsi="宋体" w:cs="宋体" w:hint="eastAsia"/>
          <w:color w:val="000000"/>
          <w:kern w:val="0"/>
          <w:szCs w:val="21"/>
        </w:rPr>
        <w:t>浙商证券</w:t>
      </w:r>
      <w:proofErr w:type="gramEnd"/>
      <w:r w:rsidRPr="001F1337">
        <w:rPr>
          <w:rFonts w:ascii="宋体" w:eastAsia="宋体" w:hAnsi="宋体" w:cs="宋体" w:hint="eastAsia"/>
          <w:color w:val="000000"/>
          <w:kern w:val="0"/>
          <w:szCs w:val="21"/>
        </w:rPr>
        <w:t>对青岛康平开展尽职调查。</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2014年10月20日，青岛康平项目投资评审会全票通过青岛康平的收购计划。</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2014年11月3日，</w:t>
      </w:r>
      <w:proofErr w:type="gramStart"/>
      <w:r w:rsidRPr="001F1337">
        <w:rPr>
          <w:rFonts w:ascii="宋体" w:eastAsia="宋体" w:hAnsi="宋体" w:cs="宋体" w:hint="eastAsia"/>
          <w:color w:val="000000"/>
          <w:kern w:val="0"/>
          <w:szCs w:val="21"/>
        </w:rPr>
        <w:t>浙商证券</w:t>
      </w:r>
      <w:proofErr w:type="gramEnd"/>
      <w:r w:rsidRPr="001F1337">
        <w:rPr>
          <w:rFonts w:ascii="宋体" w:eastAsia="宋体" w:hAnsi="宋体" w:cs="宋体" w:hint="eastAsia"/>
          <w:color w:val="000000"/>
          <w:kern w:val="0"/>
          <w:szCs w:val="21"/>
        </w:rPr>
        <w:t>完成对青岛康平的现场尽职调查。</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2014年12月2日，</w:t>
      </w:r>
      <w:proofErr w:type="gramStart"/>
      <w:r w:rsidRPr="001F1337">
        <w:rPr>
          <w:rFonts w:ascii="宋体" w:eastAsia="宋体" w:hAnsi="宋体" w:cs="宋体" w:hint="eastAsia"/>
          <w:color w:val="000000"/>
          <w:kern w:val="0"/>
          <w:szCs w:val="21"/>
        </w:rPr>
        <w:t>绵世</w:t>
      </w:r>
      <w:proofErr w:type="gramEnd"/>
      <w:r w:rsidRPr="001F1337">
        <w:rPr>
          <w:rFonts w:ascii="宋体" w:eastAsia="宋体" w:hAnsi="宋体" w:cs="宋体" w:hint="eastAsia"/>
          <w:color w:val="000000"/>
          <w:kern w:val="0"/>
          <w:szCs w:val="21"/>
        </w:rPr>
        <w:t>股份因筹划重大收购事项停牌。</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2015年1月29日，</w:t>
      </w:r>
      <w:proofErr w:type="gramStart"/>
      <w:r w:rsidRPr="001F1337">
        <w:rPr>
          <w:rFonts w:ascii="宋体" w:eastAsia="宋体" w:hAnsi="宋体" w:cs="宋体" w:hint="eastAsia"/>
          <w:color w:val="000000"/>
          <w:kern w:val="0"/>
          <w:szCs w:val="21"/>
        </w:rPr>
        <w:t>绵世</w:t>
      </w:r>
      <w:proofErr w:type="gramEnd"/>
      <w:r w:rsidRPr="001F1337">
        <w:rPr>
          <w:rFonts w:ascii="宋体" w:eastAsia="宋体" w:hAnsi="宋体" w:cs="宋体" w:hint="eastAsia"/>
          <w:color w:val="000000"/>
          <w:kern w:val="0"/>
          <w:szCs w:val="21"/>
        </w:rPr>
        <w:t>股份复牌，公告拟以发行519万股（增发价11.56元/股）及支付6000万元现金方式购买青岛康平现有60%股权。</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1F1337">
        <w:rPr>
          <w:rFonts w:ascii="宋体" w:eastAsia="宋体" w:hAnsi="宋体" w:cs="宋体" w:hint="eastAsia"/>
          <w:color w:val="000000"/>
          <w:kern w:val="0"/>
          <w:szCs w:val="21"/>
        </w:rPr>
        <w:t>绵世</w:t>
      </w:r>
      <w:proofErr w:type="gramEnd"/>
      <w:r w:rsidRPr="001F1337">
        <w:rPr>
          <w:rFonts w:ascii="宋体" w:eastAsia="宋体" w:hAnsi="宋体" w:cs="宋体" w:hint="eastAsia"/>
          <w:color w:val="000000"/>
          <w:kern w:val="0"/>
          <w:szCs w:val="21"/>
        </w:rPr>
        <w:t>股份2015年1月29日公告拟通过发行股份和支付现金的方式收购青岛康平60%股权事项为《证券法》第六十七条第二款规定的“公司的重大投资行为和重大的购置财产</w:t>
      </w:r>
      <w:r w:rsidRPr="001F1337">
        <w:rPr>
          <w:rFonts w:ascii="宋体" w:eastAsia="宋体" w:hAnsi="宋体" w:cs="宋体" w:hint="eastAsia"/>
          <w:color w:val="000000"/>
          <w:kern w:val="0"/>
          <w:szCs w:val="21"/>
        </w:rPr>
        <w:lastRenderedPageBreak/>
        <w:t>的决定”，属于《证券法》第七十五条第二款第（一）项所述内幕信息。该信息形成不晚于2014年4月底，公开于2015年1月29日。郑某、</w:t>
      </w:r>
      <w:proofErr w:type="gramStart"/>
      <w:r w:rsidRPr="001F1337">
        <w:rPr>
          <w:rFonts w:ascii="宋体" w:eastAsia="宋体" w:hAnsi="宋体" w:cs="宋体" w:hint="eastAsia"/>
          <w:color w:val="000000"/>
          <w:kern w:val="0"/>
          <w:szCs w:val="21"/>
        </w:rPr>
        <w:t>绵世</w:t>
      </w:r>
      <w:proofErr w:type="gramEnd"/>
      <w:r w:rsidRPr="001F1337">
        <w:rPr>
          <w:rFonts w:ascii="宋体" w:eastAsia="宋体" w:hAnsi="宋体" w:cs="宋体" w:hint="eastAsia"/>
          <w:color w:val="000000"/>
          <w:kern w:val="0"/>
          <w:szCs w:val="21"/>
        </w:rPr>
        <w:t>股份副总经理石某平等人为内幕信息知情人。</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二、申启永账户组内幕交易的情况</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申启永与郑某为旧相识，郑某介绍申启永与石某平认识。申启永曾为石某平在河南找项目，两人间联系频繁且关系密切。</w:t>
      </w:r>
      <w:proofErr w:type="gramStart"/>
      <w:r w:rsidRPr="001F1337">
        <w:rPr>
          <w:rFonts w:ascii="宋体" w:eastAsia="宋体" w:hAnsi="宋体" w:cs="宋体" w:hint="eastAsia"/>
          <w:color w:val="000000"/>
          <w:kern w:val="0"/>
          <w:szCs w:val="21"/>
        </w:rPr>
        <w:t>申启永在</w:t>
      </w:r>
      <w:proofErr w:type="gramEnd"/>
      <w:r w:rsidRPr="001F1337">
        <w:rPr>
          <w:rFonts w:ascii="宋体" w:eastAsia="宋体" w:hAnsi="宋体" w:cs="宋体" w:hint="eastAsia"/>
          <w:color w:val="000000"/>
          <w:kern w:val="0"/>
          <w:szCs w:val="21"/>
        </w:rPr>
        <w:t>郑某的同意下使用了</w:t>
      </w:r>
      <w:proofErr w:type="gramStart"/>
      <w:r w:rsidRPr="001F1337">
        <w:rPr>
          <w:rFonts w:ascii="宋体" w:eastAsia="宋体" w:hAnsi="宋体" w:cs="宋体" w:hint="eastAsia"/>
          <w:color w:val="000000"/>
          <w:kern w:val="0"/>
          <w:szCs w:val="21"/>
        </w:rPr>
        <w:t>绵世</w:t>
      </w:r>
      <w:proofErr w:type="gramEnd"/>
      <w:r w:rsidRPr="001F1337">
        <w:rPr>
          <w:rFonts w:ascii="宋体" w:eastAsia="宋体" w:hAnsi="宋体" w:cs="宋体" w:hint="eastAsia"/>
          <w:color w:val="000000"/>
          <w:kern w:val="0"/>
          <w:szCs w:val="21"/>
        </w:rPr>
        <w:t>股份的名片，职务为总经理助理、合伙人。在内幕信息形成至公开期间，申启永与郑某通话28次，短信8条，与石某平通话63次，短信7条。申启永与石某平于2014年5月8日、5月21日、6月28日、8月30日、10月20日均有见面。</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2014年9、10月份申启永多次向石某平打听</w:t>
      </w:r>
      <w:proofErr w:type="gramStart"/>
      <w:r w:rsidRPr="001F1337">
        <w:rPr>
          <w:rFonts w:ascii="宋体" w:eastAsia="宋体" w:hAnsi="宋体" w:cs="宋体" w:hint="eastAsia"/>
          <w:color w:val="000000"/>
          <w:kern w:val="0"/>
          <w:szCs w:val="21"/>
        </w:rPr>
        <w:t>绵世</w:t>
      </w:r>
      <w:proofErr w:type="gramEnd"/>
      <w:r w:rsidRPr="001F1337">
        <w:rPr>
          <w:rFonts w:ascii="宋体" w:eastAsia="宋体" w:hAnsi="宋体" w:cs="宋体" w:hint="eastAsia"/>
          <w:color w:val="000000"/>
          <w:kern w:val="0"/>
          <w:szCs w:val="21"/>
        </w:rPr>
        <w:t>股份的消息。11月3日14时与郑某有一次电话联系。11月4日买入17.9万股，动用资金236.7万元，当日卖出7300股。11月8日申启永和郑某同去成都出差。11月10日上午10:31分，申启永和石某平有一次电话联系，11月10日（周一）后直至停牌前持续大量买入。具体交易情况如下：</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2014年11月4日至11月20日期间，申启永使用本人的账户开始大量买入“绵世股份”，并伴随着卖出其他股票的情况。期间合计买入376,900股，买入金额5,048,274.98元。</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2014年11月20日，申启永启用融资融券账户，至11月26日5个交易日内，买入“绵世股份”799,840股，买入金额10,370,080.39元。其中除312万元为转入资金外，其余约725万元为融资买入。</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申启永使用其妻子“贾某伟”账户于2014年11月4日至13日共计买入“绵世股份”85,700股，买入金额约114万元。开通融资融券账户后，于11月21至26日期间，融资买入14万股，买入金额约182万元。内幕信息公开后，申启永陆续卖出上述股票，共获利3,733,492.39元。</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综上所述，在内幕信息形成后至公开前，申启永和内幕信息知情人有频繁的接触联系，并控制本人和妻子的账户交易了“绵世股份”，相关交易行为和内幕信息高度吻合，且无正当理由或者正当信息来源。</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以上事实，有相关人员询问笔录、通讯记录、相关账户交易流水等证据证明，足以认定。</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听证会上，当事人提出如下申辩意见：第一，</w:t>
      </w:r>
      <w:proofErr w:type="gramStart"/>
      <w:r w:rsidRPr="001F1337">
        <w:rPr>
          <w:rFonts w:ascii="宋体" w:eastAsia="宋体" w:hAnsi="宋体" w:cs="宋体" w:hint="eastAsia"/>
          <w:color w:val="000000"/>
          <w:kern w:val="0"/>
          <w:szCs w:val="21"/>
        </w:rPr>
        <w:t>申启永不</w:t>
      </w:r>
      <w:proofErr w:type="gramEnd"/>
      <w:r w:rsidRPr="001F1337">
        <w:rPr>
          <w:rFonts w:ascii="宋体" w:eastAsia="宋体" w:hAnsi="宋体" w:cs="宋体" w:hint="eastAsia"/>
          <w:color w:val="000000"/>
          <w:kern w:val="0"/>
          <w:szCs w:val="21"/>
        </w:rPr>
        <w:t>知道内幕信息，其和内幕信息知情人的联系属于正常通信往来。第二，申启永的买入行为有正当理由，其交易不存在异常。第三，交易股数和获利金额计算错误。</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我会认为：第一，当事人和内幕信息知情人的联系与交易时间高度接近，其放量买入行为和内幕信息高度吻合，交易明显异常。当事人所提出的买入理由不足以解释其交易的异常性。第二，对于交易股数和违法所得，截至调查日，本案当事人于内幕信息公开后已基本全部卖出“绵世股份”。我会根据当事人实际盈利和1000股余股的账面浮动盈利之和计算了违法所得。经核实，2014年11月20日至11月26日期间使用融资</w:t>
      </w:r>
      <w:proofErr w:type="gramStart"/>
      <w:r w:rsidRPr="001F1337">
        <w:rPr>
          <w:rFonts w:ascii="宋体" w:eastAsia="宋体" w:hAnsi="宋体" w:cs="宋体" w:hint="eastAsia"/>
          <w:color w:val="000000"/>
          <w:kern w:val="0"/>
          <w:szCs w:val="21"/>
        </w:rPr>
        <w:t>帐户</w:t>
      </w:r>
      <w:proofErr w:type="gramEnd"/>
      <w:r w:rsidRPr="001F1337">
        <w:rPr>
          <w:rFonts w:ascii="宋体" w:eastAsia="宋体" w:hAnsi="宋体" w:cs="宋体" w:hint="eastAsia"/>
          <w:color w:val="000000"/>
          <w:kern w:val="0"/>
          <w:szCs w:val="21"/>
        </w:rPr>
        <w:t>买入股数为799,840股，申启永内幕交易违法所得共计3,733,492.39元。</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lastRenderedPageBreak/>
        <w:t>申启永的上述行为违反了《证券法》第七十三条和第七十六条第一款的规定，构成《证券法》第二百零二条所述内幕交易行为。</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根据当事人违法行为的事实、性质、情节与社会危害程度，依据《证券法》第二百零二条的规定，我会决定：没收申启永违法所得3,733,492.39元，并处以11,200,477.17元罚款。</w:t>
      </w:r>
    </w:p>
    <w:p w:rsidR="001F1337" w:rsidRPr="001F1337" w:rsidRDefault="001F1337" w:rsidP="001F13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1F1337" w:rsidRPr="001F1337" w:rsidRDefault="001F1337" w:rsidP="001F1337">
      <w:pPr>
        <w:widowControl/>
        <w:shd w:val="clear" w:color="auto" w:fill="FFFFFF"/>
        <w:spacing w:line="360" w:lineRule="atLeast"/>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 </w:t>
      </w:r>
    </w:p>
    <w:p w:rsidR="001F1337" w:rsidRPr="001F1337" w:rsidRDefault="001F1337" w:rsidP="001F1337">
      <w:pPr>
        <w:widowControl/>
        <w:shd w:val="clear" w:color="auto" w:fill="FFFFFF"/>
        <w:spacing w:line="360" w:lineRule="atLeast"/>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 </w:t>
      </w:r>
    </w:p>
    <w:p w:rsidR="001F1337" w:rsidRPr="001F1337" w:rsidRDefault="001F1337" w:rsidP="001F1337">
      <w:pPr>
        <w:widowControl/>
        <w:shd w:val="clear" w:color="auto" w:fill="FFFFFF"/>
        <w:spacing w:line="360" w:lineRule="atLeast"/>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 </w:t>
      </w:r>
    </w:p>
    <w:p w:rsidR="001F1337" w:rsidRPr="001F1337" w:rsidRDefault="001F1337" w:rsidP="001F1337">
      <w:pPr>
        <w:widowControl/>
        <w:shd w:val="clear" w:color="auto" w:fill="FFFFFF"/>
        <w:spacing w:line="360" w:lineRule="atLeast"/>
        <w:jc w:val="lef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 </w:t>
      </w:r>
    </w:p>
    <w:p w:rsidR="001F1337" w:rsidRPr="001F1337" w:rsidRDefault="001F1337" w:rsidP="001F133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中国证监会</w:t>
      </w:r>
      <w:proofErr w:type="gramStart"/>
      <w:r w:rsidRPr="001F1337">
        <w:rPr>
          <w:rFonts w:ascii="宋体" w:eastAsia="宋体" w:hAnsi="宋体" w:cs="宋体" w:hint="eastAsia"/>
          <w:color w:val="000000"/>
          <w:kern w:val="0"/>
          <w:szCs w:val="21"/>
        </w:rPr>
        <w:t xml:space="preserve">　　　　　</w:t>
      </w:r>
      <w:proofErr w:type="gramEnd"/>
      <w:r w:rsidRPr="001F1337">
        <w:rPr>
          <w:rFonts w:ascii="宋体" w:eastAsia="宋体" w:hAnsi="宋体" w:cs="宋体" w:hint="eastAsia"/>
          <w:color w:val="000000"/>
          <w:kern w:val="0"/>
          <w:szCs w:val="21"/>
        </w:rPr>
        <w:t> </w:t>
      </w:r>
    </w:p>
    <w:p w:rsidR="001F1337" w:rsidRPr="001F1337" w:rsidRDefault="001F1337" w:rsidP="001F133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F1337">
        <w:rPr>
          <w:rFonts w:ascii="宋体" w:eastAsia="宋体" w:hAnsi="宋体" w:cs="宋体" w:hint="eastAsia"/>
          <w:color w:val="000000"/>
          <w:kern w:val="0"/>
          <w:szCs w:val="21"/>
        </w:rPr>
        <w:t xml:space="preserve">2016年5月30日　　</w:t>
      </w:r>
      <w:proofErr w:type="gramStart"/>
      <w:r w:rsidRPr="001F1337">
        <w:rPr>
          <w:rFonts w:ascii="宋体" w:eastAsia="宋体" w:hAnsi="宋体" w:cs="宋体" w:hint="eastAsia"/>
          <w:color w:val="000000"/>
          <w:kern w:val="0"/>
          <w:szCs w:val="21"/>
        </w:rPr>
        <w:t xml:space="preserve">　　</w:t>
      </w:r>
      <w:proofErr w:type="gramEnd"/>
    </w:p>
    <w:p w:rsidR="001F1337" w:rsidRPr="001F1337" w:rsidRDefault="001F1337" w:rsidP="001F1337">
      <w:pPr>
        <w:widowControl/>
        <w:shd w:val="clear" w:color="auto" w:fill="FFFFFF"/>
        <w:wordWrap w:val="0"/>
        <w:spacing w:line="560" w:lineRule="atLeast"/>
        <w:jc w:val="right"/>
        <w:rPr>
          <w:rFonts w:ascii="楷体" w:eastAsia="楷体" w:hAnsi="楷体" w:cs="宋体" w:hint="eastAsia"/>
          <w:color w:val="000000"/>
          <w:kern w:val="0"/>
          <w:sz w:val="24"/>
          <w:szCs w:val="24"/>
        </w:rPr>
      </w:pPr>
      <w:r w:rsidRPr="001F1337">
        <w:rPr>
          <w:rFonts w:ascii="方正仿宋简体" w:eastAsia="方正仿宋简体" w:hAnsi="楷体" w:cs="宋体" w:hint="eastAsia"/>
          <w:color w:val="000000"/>
          <w:kern w:val="0"/>
          <w:sz w:val="30"/>
          <w:szCs w:val="30"/>
        </w:rPr>
        <w:t xml:space="preserve">　　　</w:t>
      </w:r>
      <w:r w:rsidRPr="001F1337">
        <w:rPr>
          <w:rFonts w:ascii="Calibri" w:eastAsia="方正仿宋简体" w:hAnsi="Calibri" w:cs="Calibri"/>
          <w:color w:val="000000"/>
          <w:kern w:val="0"/>
          <w:sz w:val="30"/>
          <w:szCs w:val="30"/>
        </w:rPr>
        <w:t> </w:t>
      </w:r>
    </w:p>
    <w:p w:rsidR="001F1337" w:rsidRPr="001F1337" w:rsidRDefault="001F1337" w:rsidP="001F1337">
      <w:pPr>
        <w:widowControl/>
        <w:shd w:val="clear" w:color="auto" w:fill="FFFFFF"/>
        <w:spacing w:line="240" w:lineRule="atLeast"/>
        <w:jc w:val="left"/>
        <w:rPr>
          <w:rFonts w:ascii="楷体" w:eastAsia="楷体" w:hAnsi="楷体" w:cs="宋体" w:hint="eastAsia"/>
          <w:color w:val="000000"/>
          <w:kern w:val="0"/>
          <w:sz w:val="24"/>
          <w:szCs w:val="24"/>
        </w:rPr>
      </w:pPr>
      <w:r w:rsidRPr="001F1337">
        <w:rPr>
          <w:rFonts w:ascii="Calibri" w:eastAsia="方正黑体简体" w:hAnsi="Calibri" w:cs="Calibri"/>
          <w:color w:val="000000"/>
          <w:kern w:val="0"/>
          <w:sz w:val="32"/>
          <w:szCs w:val="32"/>
        </w:rPr>
        <w:t> </w:t>
      </w:r>
    </w:p>
    <w:p w:rsidR="001F1337" w:rsidRPr="001F1337" w:rsidRDefault="001F1337" w:rsidP="001F1337">
      <w:pPr>
        <w:widowControl/>
        <w:shd w:val="clear" w:color="auto" w:fill="FFFFFF"/>
        <w:spacing w:line="408" w:lineRule="atLeast"/>
        <w:jc w:val="left"/>
        <w:rPr>
          <w:rFonts w:ascii="楷体" w:eastAsia="楷体" w:hAnsi="楷体" w:cs="宋体" w:hint="eastAsia"/>
          <w:color w:val="000000"/>
          <w:kern w:val="0"/>
          <w:sz w:val="24"/>
          <w:szCs w:val="24"/>
        </w:rPr>
      </w:pPr>
      <w:r w:rsidRPr="001F1337">
        <w:rPr>
          <w:rFonts w:ascii="Times New Roman" w:eastAsia="楷体" w:hAnsi="Times New Roman" w:cs="Times New Roman"/>
          <w:color w:val="000000"/>
          <w:kern w:val="0"/>
          <w:szCs w:val="21"/>
        </w:rPr>
        <w:t> </w:t>
      </w:r>
    </w:p>
    <w:p w:rsidR="001F1337" w:rsidRPr="001F1337" w:rsidRDefault="001F1337" w:rsidP="001F1337">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1F1337" w:rsidRPr="001F1337" w:rsidTr="001F1337">
        <w:trPr>
          <w:tblCellSpacing w:w="15" w:type="dxa"/>
          <w:jc w:val="center"/>
        </w:trPr>
        <w:tc>
          <w:tcPr>
            <w:tcW w:w="900" w:type="dxa"/>
            <w:vAlign w:val="center"/>
            <w:hideMark/>
          </w:tcPr>
          <w:p w:rsidR="001F1337" w:rsidRPr="001F1337" w:rsidRDefault="001F1337" w:rsidP="001F1337">
            <w:pPr>
              <w:widowControl/>
              <w:jc w:val="left"/>
              <w:rPr>
                <w:rFonts w:ascii="宋体" w:eastAsia="宋体" w:hAnsi="宋体" w:cs="宋体" w:hint="eastAsia"/>
                <w:kern w:val="0"/>
                <w:sz w:val="18"/>
                <w:szCs w:val="18"/>
              </w:rPr>
            </w:pPr>
            <w:r w:rsidRPr="001F1337">
              <w:rPr>
                <w:rFonts w:ascii="宋体" w:eastAsia="宋体" w:hAnsi="宋体" w:cs="宋体"/>
                <w:kern w:val="0"/>
                <w:sz w:val="18"/>
                <w:szCs w:val="18"/>
              </w:rPr>
              <w:t> </w:t>
            </w:r>
          </w:p>
        </w:tc>
        <w:tc>
          <w:tcPr>
            <w:tcW w:w="1200" w:type="dxa"/>
            <w:vAlign w:val="center"/>
            <w:hideMark/>
          </w:tcPr>
          <w:p w:rsidR="001F1337" w:rsidRPr="001F1337" w:rsidRDefault="001F1337" w:rsidP="001F1337">
            <w:pPr>
              <w:widowControl/>
              <w:jc w:val="left"/>
              <w:rPr>
                <w:rFonts w:ascii="宋体" w:eastAsia="宋体" w:hAnsi="宋体" w:cs="宋体"/>
                <w:kern w:val="0"/>
                <w:sz w:val="18"/>
                <w:szCs w:val="18"/>
              </w:rPr>
            </w:pPr>
            <w:r w:rsidRPr="001F1337">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F1337" w:rsidRPr="001F1337" w:rsidRDefault="001F1337" w:rsidP="001F1337">
            <w:pPr>
              <w:widowControl/>
              <w:jc w:val="left"/>
              <w:rPr>
                <w:rFonts w:ascii="宋体" w:eastAsia="宋体" w:hAnsi="宋体" w:cs="宋体"/>
                <w:kern w:val="0"/>
                <w:sz w:val="18"/>
                <w:szCs w:val="18"/>
              </w:rPr>
            </w:pPr>
            <w:r w:rsidRPr="001F1337">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F1337" w:rsidRPr="001F1337" w:rsidRDefault="001F1337" w:rsidP="001F1337">
            <w:pPr>
              <w:widowControl/>
              <w:jc w:val="left"/>
              <w:rPr>
                <w:rFonts w:ascii="宋体" w:eastAsia="宋体" w:hAnsi="宋体" w:cs="宋体"/>
                <w:kern w:val="0"/>
                <w:sz w:val="18"/>
                <w:szCs w:val="18"/>
              </w:rPr>
            </w:pPr>
            <w:r w:rsidRPr="001F1337">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1F1337" w:rsidRPr="001F1337" w:rsidRDefault="001F1337" w:rsidP="001F1337">
      <w:pPr>
        <w:widowControl/>
        <w:jc w:val="center"/>
        <w:rPr>
          <w:rFonts w:ascii="微软雅黑" w:eastAsia="微软雅黑" w:hAnsi="微软雅黑" w:cs="宋体"/>
          <w:color w:val="515151"/>
          <w:kern w:val="0"/>
          <w:sz w:val="18"/>
          <w:szCs w:val="18"/>
        </w:rPr>
      </w:pPr>
      <w:hyperlink r:id="rId11" w:tgtFrame="_blank" w:history="1">
        <w:r w:rsidRPr="001F1337">
          <w:rPr>
            <w:rFonts w:ascii="微软雅黑" w:eastAsia="微软雅黑" w:hAnsi="微软雅黑" w:cs="宋体" w:hint="eastAsia"/>
            <w:color w:val="0000FF"/>
            <w:kern w:val="0"/>
            <w:sz w:val="18"/>
            <w:szCs w:val="18"/>
            <w:u w:val="single"/>
          </w:rPr>
          <w:t>关于我们</w:t>
        </w:r>
      </w:hyperlink>
      <w:r w:rsidRPr="001F1337">
        <w:rPr>
          <w:rFonts w:ascii="微软雅黑" w:eastAsia="微软雅黑" w:hAnsi="微软雅黑" w:cs="宋体" w:hint="eastAsia"/>
          <w:color w:val="515151"/>
          <w:kern w:val="0"/>
          <w:sz w:val="18"/>
          <w:szCs w:val="18"/>
        </w:rPr>
        <w:t> - </w:t>
      </w:r>
      <w:hyperlink r:id="rId12" w:tgtFrame="_blank" w:history="1">
        <w:r w:rsidRPr="001F1337">
          <w:rPr>
            <w:rFonts w:ascii="微软雅黑" w:eastAsia="微软雅黑" w:hAnsi="微软雅黑" w:cs="宋体" w:hint="eastAsia"/>
            <w:color w:val="0000FF"/>
            <w:kern w:val="0"/>
            <w:sz w:val="18"/>
            <w:szCs w:val="18"/>
            <w:u w:val="single"/>
          </w:rPr>
          <w:t>法律声明</w:t>
        </w:r>
      </w:hyperlink>
      <w:r w:rsidRPr="001F1337">
        <w:rPr>
          <w:rFonts w:ascii="微软雅黑" w:eastAsia="微软雅黑" w:hAnsi="微软雅黑" w:cs="宋体" w:hint="eastAsia"/>
          <w:color w:val="515151"/>
          <w:kern w:val="0"/>
          <w:sz w:val="18"/>
          <w:szCs w:val="18"/>
        </w:rPr>
        <w:t> - </w:t>
      </w:r>
      <w:hyperlink r:id="rId13" w:tgtFrame="_blank" w:history="1">
        <w:r w:rsidRPr="001F1337">
          <w:rPr>
            <w:rFonts w:ascii="微软雅黑" w:eastAsia="微软雅黑" w:hAnsi="微软雅黑" w:cs="宋体" w:hint="eastAsia"/>
            <w:color w:val="0000FF"/>
            <w:kern w:val="0"/>
            <w:sz w:val="18"/>
            <w:szCs w:val="18"/>
            <w:u w:val="single"/>
          </w:rPr>
          <w:t>联系我们</w:t>
        </w:r>
      </w:hyperlink>
    </w:p>
    <w:p w:rsidR="001F1337" w:rsidRPr="001F1337" w:rsidRDefault="001F1337" w:rsidP="001F1337">
      <w:pPr>
        <w:widowControl/>
        <w:jc w:val="center"/>
        <w:rPr>
          <w:rFonts w:ascii="微软雅黑" w:eastAsia="微软雅黑" w:hAnsi="微软雅黑" w:cs="宋体" w:hint="eastAsia"/>
          <w:color w:val="515151"/>
          <w:kern w:val="0"/>
          <w:sz w:val="18"/>
          <w:szCs w:val="18"/>
        </w:rPr>
      </w:pPr>
      <w:r w:rsidRPr="001F1337">
        <w:rPr>
          <w:rFonts w:ascii="微软雅黑" w:eastAsia="微软雅黑" w:hAnsi="微软雅黑" w:cs="宋体" w:hint="eastAsia"/>
          <w:color w:val="515151"/>
          <w:kern w:val="0"/>
          <w:sz w:val="18"/>
          <w:szCs w:val="18"/>
        </w:rPr>
        <w:t>版权所有：中国证券监督管理委员会 京ICP备 05035542号</w:t>
      </w:r>
    </w:p>
    <w:p w:rsidR="001F1337" w:rsidRPr="001F1337" w:rsidRDefault="001F1337" w:rsidP="001F1337">
      <w:pPr>
        <w:widowControl/>
        <w:jc w:val="center"/>
        <w:rPr>
          <w:rFonts w:ascii="微软雅黑" w:eastAsia="微软雅黑" w:hAnsi="微软雅黑" w:cs="宋体" w:hint="eastAsia"/>
          <w:color w:val="515151"/>
          <w:kern w:val="0"/>
          <w:sz w:val="18"/>
          <w:szCs w:val="18"/>
        </w:rPr>
      </w:pPr>
      <w:r w:rsidRPr="001F1337">
        <w:rPr>
          <w:rFonts w:ascii="微软雅黑" w:eastAsia="微软雅黑" w:hAnsi="微软雅黑" w:cs="宋体" w:hint="eastAsia"/>
          <w:color w:val="515151"/>
          <w:kern w:val="0"/>
          <w:sz w:val="18"/>
          <w:szCs w:val="18"/>
        </w:rPr>
        <w:t>地址：北京市西城区金融大街19号富凯大厦A座 邮编：100033</w:t>
      </w:r>
    </w:p>
    <w:p w:rsidR="001F1337" w:rsidRPr="001F1337" w:rsidRDefault="001F1337" w:rsidP="001F1337">
      <w:pPr>
        <w:widowControl/>
        <w:jc w:val="center"/>
        <w:rPr>
          <w:rFonts w:ascii="微软雅黑" w:eastAsia="微软雅黑" w:hAnsi="微软雅黑" w:cs="宋体" w:hint="eastAsia"/>
          <w:color w:val="515151"/>
          <w:kern w:val="0"/>
          <w:sz w:val="18"/>
          <w:szCs w:val="18"/>
        </w:rPr>
      </w:pPr>
      <w:r w:rsidRPr="001F1337">
        <w:rPr>
          <w:rFonts w:ascii="微软雅黑" w:eastAsia="微软雅黑" w:hAnsi="微软雅黑" w:cs="宋体" w:hint="eastAsia"/>
          <w:color w:val="515151"/>
          <w:kern w:val="0"/>
          <w:sz w:val="18"/>
          <w:szCs w:val="18"/>
        </w:rPr>
        <w:t>建议使用IE5.5以上浏览器，分辨率1024*768</w:t>
      </w:r>
    </w:p>
    <w:p w:rsidR="00801F9F" w:rsidRPr="001F1337" w:rsidRDefault="00801F9F"/>
    <w:sectPr w:rsidR="00801F9F" w:rsidRPr="001F1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方正黑体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37"/>
    <w:rsid w:val="001F1337"/>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8B023-17C6-4AFA-AC77-C6DB7593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F133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F1337"/>
    <w:rPr>
      <w:b/>
      <w:bCs/>
    </w:rPr>
  </w:style>
  <w:style w:type="paragraph" w:customStyle="1" w:styleId="p0">
    <w:name w:val="p0"/>
    <w:basedOn w:val="a"/>
    <w:rsid w:val="001F133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F13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5748">
      <w:bodyDiv w:val="1"/>
      <w:marLeft w:val="0"/>
      <w:marRight w:val="0"/>
      <w:marTop w:val="0"/>
      <w:marBottom w:val="0"/>
      <w:divBdr>
        <w:top w:val="none" w:sz="0" w:space="0" w:color="auto"/>
        <w:left w:val="none" w:sz="0" w:space="0" w:color="auto"/>
        <w:bottom w:val="none" w:sz="0" w:space="0" w:color="auto"/>
        <w:right w:val="none" w:sz="0" w:space="0" w:color="auto"/>
      </w:divBdr>
      <w:divsChild>
        <w:div w:id="2058772759">
          <w:marLeft w:val="0"/>
          <w:marRight w:val="0"/>
          <w:marTop w:val="150"/>
          <w:marBottom w:val="150"/>
          <w:divBdr>
            <w:top w:val="none" w:sz="0" w:space="0" w:color="auto"/>
            <w:left w:val="none" w:sz="0" w:space="0" w:color="auto"/>
            <w:bottom w:val="none" w:sz="0" w:space="0" w:color="auto"/>
            <w:right w:val="none" w:sz="0" w:space="0" w:color="auto"/>
          </w:divBdr>
        </w:div>
        <w:div w:id="2103525300">
          <w:marLeft w:val="0"/>
          <w:marRight w:val="0"/>
          <w:marTop w:val="0"/>
          <w:marBottom w:val="0"/>
          <w:divBdr>
            <w:top w:val="single" w:sz="6" w:space="8" w:color="B5B5B5"/>
            <w:left w:val="single" w:sz="6" w:space="0" w:color="B5B5B5"/>
            <w:bottom w:val="single" w:sz="6" w:space="8" w:color="B5B5B5"/>
            <w:right w:val="single" w:sz="6" w:space="0" w:color="B5B5B5"/>
          </w:divBdr>
          <w:divsChild>
            <w:div w:id="1410270460">
              <w:marLeft w:val="0"/>
              <w:marRight w:val="0"/>
              <w:marTop w:val="0"/>
              <w:marBottom w:val="0"/>
              <w:divBdr>
                <w:top w:val="none" w:sz="0" w:space="0" w:color="auto"/>
                <w:left w:val="none" w:sz="0" w:space="0" w:color="auto"/>
                <w:bottom w:val="none" w:sz="0" w:space="0" w:color="auto"/>
                <w:right w:val="none" w:sz="0" w:space="0" w:color="auto"/>
              </w:divBdr>
            </w:div>
            <w:div w:id="1029841194">
              <w:marLeft w:val="0"/>
              <w:marRight w:val="0"/>
              <w:marTop w:val="0"/>
              <w:marBottom w:val="0"/>
              <w:divBdr>
                <w:top w:val="none" w:sz="0" w:space="0" w:color="auto"/>
                <w:left w:val="none" w:sz="0" w:space="0" w:color="auto"/>
                <w:bottom w:val="none" w:sz="0" w:space="0" w:color="auto"/>
                <w:right w:val="none" w:sz="0" w:space="0" w:color="auto"/>
              </w:divBdr>
            </w:div>
            <w:div w:id="1519274576">
              <w:marLeft w:val="0"/>
              <w:marRight w:val="0"/>
              <w:marTop w:val="120"/>
              <w:marBottom w:val="120"/>
              <w:divBdr>
                <w:top w:val="none" w:sz="0" w:space="0" w:color="auto"/>
                <w:left w:val="none" w:sz="0" w:space="0" w:color="auto"/>
                <w:bottom w:val="none" w:sz="0" w:space="0" w:color="auto"/>
                <w:right w:val="none" w:sz="0" w:space="0" w:color="auto"/>
              </w:divBdr>
            </w:div>
          </w:divsChild>
        </w:div>
        <w:div w:id="1768772347">
          <w:marLeft w:val="0"/>
          <w:marRight w:val="0"/>
          <w:marTop w:val="120"/>
          <w:marBottom w:val="0"/>
          <w:divBdr>
            <w:top w:val="none" w:sz="0" w:space="0" w:color="auto"/>
            <w:left w:val="none" w:sz="0" w:space="0" w:color="auto"/>
            <w:bottom w:val="none" w:sz="0" w:space="0" w:color="auto"/>
            <w:right w:val="none" w:sz="0" w:space="0" w:color="auto"/>
          </w:divBdr>
          <w:divsChild>
            <w:div w:id="1867139425">
              <w:marLeft w:val="0"/>
              <w:marRight w:val="0"/>
              <w:marTop w:val="60"/>
              <w:marBottom w:val="0"/>
              <w:divBdr>
                <w:top w:val="none" w:sz="0" w:space="0" w:color="auto"/>
                <w:left w:val="none" w:sz="0" w:space="0" w:color="auto"/>
                <w:bottom w:val="none" w:sz="0" w:space="0" w:color="auto"/>
                <w:right w:val="none" w:sz="0" w:space="0" w:color="auto"/>
              </w:divBdr>
            </w:div>
            <w:div w:id="490413482">
              <w:marLeft w:val="0"/>
              <w:marRight w:val="0"/>
              <w:marTop w:val="60"/>
              <w:marBottom w:val="0"/>
              <w:divBdr>
                <w:top w:val="none" w:sz="0" w:space="0" w:color="auto"/>
                <w:left w:val="none" w:sz="0" w:space="0" w:color="auto"/>
                <w:bottom w:val="none" w:sz="0" w:space="0" w:color="auto"/>
                <w:right w:val="none" w:sz="0" w:space="0" w:color="auto"/>
              </w:divBdr>
            </w:div>
            <w:div w:id="321589436">
              <w:marLeft w:val="0"/>
              <w:marRight w:val="0"/>
              <w:marTop w:val="60"/>
              <w:marBottom w:val="0"/>
              <w:divBdr>
                <w:top w:val="none" w:sz="0" w:space="0" w:color="auto"/>
                <w:left w:val="none" w:sz="0" w:space="0" w:color="auto"/>
                <w:bottom w:val="none" w:sz="0" w:space="0" w:color="auto"/>
                <w:right w:val="none" w:sz="0" w:space="0" w:color="auto"/>
              </w:divBdr>
            </w:div>
            <w:div w:id="200280967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9/t20160913_30333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2020-02-17T14:48:00Z</dcterms:created>
  <dcterms:modified xsi:type="dcterms:W3CDTF">2020-02-17T14:48:00Z</dcterms:modified>
</cp:coreProperties>
</file>