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FAC" w:rsidRPr="006D1FAC" w:rsidRDefault="006D1FAC" w:rsidP="006D1FAC">
      <w:pPr>
        <w:widowControl/>
        <w:jc w:val="center"/>
        <w:rPr>
          <w:rFonts w:ascii="微软雅黑" w:eastAsia="微软雅黑" w:hAnsi="微软雅黑" w:cs="宋体"/>
          <w:color w:val="000000"/>
          <w:kern w:val="0"/>
          <w:sz w:val="18"/>
          <w:szCs w:val="18"/>
        </w:rPr>
      </w:pPr>
      <w:r w:rsidRPr="006D1FAC">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D1FAC" w:rsidRPr="006D1FAC" w:rsidTr="006D1FA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D1FAC" w:rsidRPr="006D1FAC">
              <w:trPr>
                <w:tblCellSpacing w:w="0" w:type="dxa"/>
              </w:trPr>
              <w:tc>
                <w:tcPr>
                  <w:tcW w:w="2500" w:type="pct"/>
                  <w:tcMar>
                    <w:top w:w="30" w:type="dxa"/>
                    <w:left w:w="30" w:type="dxa"/>
                    <w:bottom w:w="30" w:type="dxa"/>
                    <w:right w:w="30" w:type="dxa"/>
                  </w:tcMar>
                  <w:hideMark/>
                </w:tcPr>
                <w:p w:rsidR="006D1FAC" w:rsidRPr="006D1FAC" w:rsidRDefault="006D1FAC" w:rsidP="006D1FAC">
                  <w:pPr>
                    <w:widowControl/>
                    <w:jc w:val="left"/>
                    <w:rPr>
                      <w:rFonts w:ascii="宋体" w:eastAsia="宋体" w:hAnsi="宋体" w:cs="宋体" w:hint="eastAsia"/>
                      <w:color w:val="686868"/>
                      <w:kern w:val="0"/>
                      <w:sz w:val="18"/>
                      <w:szCs w:val="18"/>
                    </w:rPr>
                  </w:pPr>
                  <w:r w:rsidRPr="006D1FAC">
                    <w:rPr>
                      <w:rFonts w:ascii="宋体" w:eastAsia="宋体" w:hAnsi="宋体" w:cs="宋体"/>
                      <w:b/>
                      <w:bCs/>
                      <w:color w:val="686868"/>
                      <w:kern w:val="0"/>
                      <w:sz w:val="18"/>
                      <w:szCs w:val="18"/>
                    </w:rPr>
                    <w:t>索 引 号:</w:t>
                  </w:r>
                  <w:r w:rsidRPr="006D1FA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D1FAC" w:rsidRPr="006D1FAC" w:rsidRDefault="006D1FAC" w:rsidP="006D1FAC">
                  <w:pPr>
                    <w:widowControl/>
                    <w:jc w:val="left"/>
                    <w:rPr>
                      <w:rFonts w:ascii="宋体" w:eastAsia="宋体" w:hAnsi="宋体" w:cs="宋体"/>
                      <w:color w:val="686868"/>
                      <w:kern w:val="0"/>
                      <w:sz w:val="18"/>
                      <w:szCs w:val="18"/>
                    </w:rPr>
                  </w:pPr>
                  <w:r w:rsidRPr="006D1FAC">
                    <w:rPr>
                      <w:rFonts w:ascii="宋体" w:eastAsia="宋体" w:hAnsi="宋体" w:cs="宋体"/>
                      <w:b/>
                      <w:bCs/>
                      <w:color w:val="686868"/>
                      <w:kern w:val="0"/>
                      <w:sz w:val="18"/>
                      <w:szCs w:val="18"/>
                    </w:rPr>
                    <w:t>分类:</w:t>
                  </w:r>
                  <w:r w:rsidRPr="006D1FAC">
                    <w:rPr>
                      <w:rFonts w:ascii="宋体" w:eastAsia="宋体" w:hAnsi="宋体" w:cs="宋体"/>
                      <w:color w:val="686868"/>
                      <w:kern w:val="0"/>
                      <w:sz w:val="18"/>
                      <w:szCs w:val="18"/>
                    </w:rPr>
                    <w:t> 行政处罚 ; 行政处罚决定</w:t>
                  </w:r>
                </w:p>
              </w:tc>
            </w:tr>
          </w:tbl>
          <w:p w:rsidR="006D1FAC" w:rsidRPr="006D1FAC" w:rsidRDefault="006D1FAC" w:rsidP="006D1FAC">
            <w:pPr>
              <w:widowControl/>
              <w:jc w:val="left"/>
              <w:rPr>
                <w:rFonts w:ascii="宋体" w:eastAsia="宋体" w:hAnsi="宋体" w:cs="宋体"/>
                <w:color w:val="686868"/>
                <w:kern w:val="0"/>
                <w:sz w:val="18"/>
                <w:szCs w:val="18"/>
              </w:rPr>
            </w:pPr>
          </w:p>
        </w:tc>
      </w:tr>
      <w:tr w:rsidR="006D1FAC" w:rsidRPr="006D1FAC" w:rsidTr="006D1FA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D1FAC" w:rsidRPr="006D1FAC">
              <w:trPr>
                <w:tblCellSpacing w:w="0" w:type="dxa"/>
              </w:trPr>
              <w:tc>
                <w:tcPr>
                  <w:tcW w:w="2500" w:type="pct"/>
                  <w:tcMar>
                    <w:top w:w="30" w:type="dxa"/>
                    <w:left w:w="30" w:type="dxa"/>
                    <w:bottom w:w="30" w:type="dxa"/>
                    <w:right w:w="30" w:type="dxa"/>
                  </w:tcMar>
                  <w:hideMark/>
                </w:tcPr>
                <w:p w:rsidR="006D1FAC" w:rsidRPr="006D1FAC" w:rsidRDefault="006D1FAC" w:rsidP="006D1FAC">
                  <w:pPr>
                    <w:widowControl/>
                    <w:jc w:val="left"/>
                    <w:rPr>
                      <w:rFonts w:ascii="宋体" w:eastAsia="宋体" w:hAnsi="宋体" w:cs="宋体"/>
                      <w:color w:val="686868"/>
                      <w:kern w:val="0"/>
                      <w:sz w:val="18"/>
                      <w:szCs w:val="18"/>
                    </w:rPr>
                  </w:pPr>
                  <w:r w:rsidRPr="006D1FAC">
                    <w:rPr>
                      <w:rFonts w:ascii="宋体" w:eastAsia="宋体" w:hAnsi="宋体" w:cs="宋体"/>
                      <w:b/>
                      <w:bCs/>
                      <w:color w:val="686868"/>
                      <w:kern w:val="0"/>
                      <w:sz w:val="18"/>
                      <w:szCs w:val="18"/>
                    </w:rPr>
                    <w:t>发布机构:</w:t>
                  </w:r>
                  <w:r w:rsidRPr="006D1FA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D1FAC" w:rsidRPr="006D1FAC" w:rsidRDefault="006D1FAC" w:rsidP="006D1FAC">
                  <w:pPr>
                    <w:widowControl/>
                    <w:jc w:val="left"/>
                    <w:rPr>
                      <w:rFonts w:ascii="宋体" w:eastAsia="宋体" w:hAnsi="宋体" w:cs="宋体"/>
                      <w:color w:val="686868"/>
                      <w:kern w:val="0"/>
                      <w:sz w:val="18"/>
                      <w:szCs w:val="18"/>
                    </w:rPr>
                  </w:pPr>
                  <w:r w:rsidRPr="006D1FAC">
                    <w:rPr>
                      <w:rFonts w:ascii="宋体" w:eastAsia="宋体" w:hAnsi="宋体" w:cs="宋体"/>
                      <w:b/>
                      <w:bCs/>
                      <w:color w:val="686868"/>
                      <w:kern w:val="0"/>
                      <w:sz w:val="18"/>
                      <w:szCs w:val="18"/>
                    </w:rPr>
                    <w:t>发文日期:</w:t>
                  </w:r>
                  <w:r w:rsidRPr="006D1FAC">
                    <w:rPr>
                      <w:rFonts w:ascii="宋体" w:eastAsia="宋体" w:hAnsi="宋体" w:cs="宋体"/>
                      <w:color w:val="686868"/>
                      <w:kern w:val="0"/>
                      <w:sz w:val="18"/>
                      <w:szCs w:val="18"/>
                    </w:rPr>
                    <w:t> 2016年07月12日</w:t>
                  </w:r>
                </w:p>
              </w:tc>
            </w:tr>
          </w:tbl>
          <w:p w:rsidR="006D1FAC" w:rsidRPr="006D1FAC" w:rsidRDefault="006D1FAC" w:rsidP="006D1FAC">
            <w:pPr>
              <w:widowControl/>
              <w:jc w:val="left"/>
              <w:rPr>
                <w:rFonts w:ascii="宋体" w:eastAsia="宋体" w:hAnsi="宋体" w:cs="宋体"/>
                <w:color w:val="686868"/>
                <w:kern w:val="0"/>
                <w:sz w:val="18"/>
                <w:szCs w:val="18"/>
              </w:rPr>
            </w:pPr>
          </w:p>
        </w:tc>
      </w:tr>
      <w:tr w:rsidR="006D1FAC" w:rsidRPr="006D1FAC" w:rsidTr="006D1FAC">
        <w:trPr>
          <w:tblCellSpacing w:w="0" w:type="dxa"/>
          <w:jc w:val="center"/>
        </w:trPr>
        <w:tc>
          <w:tcPr>
            <w:tcW w:w="0" w:type="auto"/>
            <w:tcMar>
              <w:top w:w="30" w:type="dxa"/>
              <w:left w:w="30" w:type="dxa"/>
              <w:bottom w:w="30" w:type="dxa"/>
              <w:right w:w="30" w:type="dxa"/>
            </w:tcMar>
            <w:hideMark/>
          </w:tcPr>
          <w:p w:rsidR="006D1FAC" w:rsidRPr="006D1FAC" w:rsidRDefault="006D1FAC" w:rsidP="006D1FAC">
            <w:pPr>
              <w:widowControl/>
              <w:jc w:val="left"/>
              <w:rPr>
                <w:rFonts w:ascii="宋体" w:eastAsia="宋体" w:hAnsi="宋体" w:cs="宋体"/>
                <w:color w:val="686868"/>
                <w:kern w:val="0"/>
                <w:sz w:val="18"/>
                <w:szCs w:val="18"/>
              </w:rPr>
            </w:pPr>
            <w:r w:rsidRPr="006D1FAC">
              <w:rPr>
                <w:rFonts w:ascii="宋体" w:eastAsia="宋体" w:hAnsi="宋体" w:cs="宋体"/>
                <w:b/>
                <w:bCs/>
                <w:color w:val="686868"/>
                <w:kern w:val="0"/>
                <w:sz w:val="18"/>
                <w:szCs w:val="18"/>
              </w:rPr>
              <w:t>名　　称:</w:t>
            </w:r>
            <w:r w:rsidRPr="006D1FAC">
              <w:rPr>
                <w:rFonts w:ascii="宋体" w:eastAsia="宋体" w:hAnsi="宋体" w:cs="宋体"/>
                <w:color w:val="686868"/>
                <w:kern w:val="0"/>
                <w:sz w:val="18"/>
                <w:szCs w:val="18"/>
              </w:rPr>
              <w:t> 中国证监会行政处罚决定书（刘丹）</w:t>
            </w:r>
          </w:p>
        </w:tc>
      </w:tr>
      <w:tr w:rsidR="006D1FAC" w:rsidRPr="006D1FAC" w:rsidTr="006D1FA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D1FAC" w:rsidRPr="006D1FAC">
              <w:trPr>
                <w:tblCellSpacing w:w="0" w:type="dxa"/>
              </w:trPr>
              <w:tc>
                <w:tcPr>
                  <w:tcW w:w="2500" w:type="pct"/>
                  <w:tcMar>
                    <w:top w:w="30" w:type="dxa"/>
                    <w:left w:w="30" w:type="dxa"/>
                    <w:bottom w:w="30" w:type="dxa"/>
                    <w:right w:w="30" w:type="dxa"/>
                  </w:tcMar>
                  <w:hideMark/>
                </w:tcPr>
                <w:p w:rsidR="006D1FAC" w:rsidRPr="006D1FAC" w:rsidRDefault="006D1FAC" w:rsidP="006D1FAC">
                  <w:pPr>
                    <w:widowControl/>
                    <w:jc w:val="left"/>
                    <w:rPr>
                      <w:rFonts w:ascii="宋体" w:eastAsia="宋体" w:hAnsi="宋体" w:cs="宋体"/>
                      <w:color w:val="686868"/>
                      <w:kern w:val="0"/>
                      <w:sz w:val="18"/>
                      <w:szCs w:val="18"/>
                    </w:rPr>
                  </w:pPr>
                  <w:r w:rsidRPr="006D1FAC">
                    <w:rPr>
                      <w:rFonts w:ascii="宋体" w:eastAsia="宋体" w:hAnsi="宋体" w:cs="宋体"/>
                      <w:b/>
                      <w:bCs/>
                      <w:color w:val="686868"/>
                      <w:kern w:val="0"/>
                      <w:sz w:val="18"/>
                      <w:szCs w:val="18"/>
                    </w:rPr>
                    <w:t>文　　号:</w:t>
                  </w:r>
                  <w:r w:rsidRPr="006D1FAC">
                    <w:rPr>
                      <w:rFonts w:ascii="宋体" w:eastAsia="宋体" w:hAnsi="宋体" w:cs="宋体"/>
                      <w:color w:val="686868"/>
                      <w:kern w:val="0"/>
                      <w:sz w:val="18"/>
                      <w:szCs w:val="18"/>
                    </w:rPr>
                    <w:t> </w:t>
                  </w:r>
                  <w:bookmarkStart w:id="0" w:name="_GoBack"/>
                  <w:r w:rsidRPr="006D1FAC">
                    <w:rPr>
                      <w:rFonts w:ascii="宋体" w:eastAsia="宋体" w:hAnsi="宋体" w:cs="宋体"/>
                      <w:color w:val="686868"/>
                      <w:kern w:val="0"/>
                      <w:sz w:val="18"/>
                      <w:szCs w:val="18"/>
                    </w:rPr>
                    <w:t>〔2016〕85号</w:t>
                  </w:r>
                  <w:bookmarkEnd w:id="0"/>
                </w:p>
              </w:tc>
              <w:tc>
                <w:tcPr>
                  <w:tcW w:w="0" w:type="auto"/>
                  <w:tcMar>
                    <w:top w:w="30" w:type="dxa"/>
                    <w:left w:w="30" w:type="dxa"/>
                    <w:bottom w:w="30" w:type="dxa"/>
                    <w:right w:w="30" w:type="dxa"/>
                  </w:tcMar>
                  <w:hideMark/>
                </w:tcPr>
                <w:p w:rsidR="006D1FAC" w:rsidRPr="006D1FAC" w:rsidRDefault="006D1FAC" w:rsidP="006D1FAC">
                  <w:pPr>
                    <w:widowControl/>
                    <w:jc w:val="left"/>
                    <w:rPr>
                      <w:rFonts w:ascii="宋体" w:eastAsia="宋体" w:hAnsi="宋体" w:cs="宋体"/>
                      <w:color w:val="686868"/>
                      <w:kern w:val="0"/>
                      <w:sz w:val="18"/>
                      <w:szCs w:val="18"/>
                    </w:rPr>
                  </w:pPr>
                  <w:r w:rsidRPr="006D1FAC">
                    <w:rPr>
                      <w:rFonts w:ascii="宋体" w:eastAsia="宋体" w:hAnsi="宋体" w:cs="宋体"/>
                      <w:b/>
                      <w:bCs/>
                      <w:color w:val="686868"/>
                      <w:kern w:val="0"/>
                      <w:sz w:val="18"/>
                      <w:szCs w:val="18"/>
                    </w:rPr>
                    <w:t>主 题 词:</w:t>
                  </w:r>
                </w:p>
              </w:tc>
            </w:tr>
          </w:tbl>
          <w:p w:rsidR="006D1FAC" w:rsidRPr="006D1FAC" w:rsidRDefault="006D1FAC" w:rsidP="006D1FAC">
            <w:pPr>
              <w:widowControl/>
              <w:jc w:val="left"/>
              <w:rPr>
                <w:rFonts w:ascii="宋体" w:eastAsia="宋体" w:hAnsi="宋体" w:cs="宋体"/>
                <w:color w:val="686868"/>
                <w:kern w:val="0"/>
                <w:sz w:val="18"/>
                <w:szCs w:val="18"/>
              </w:rPr>
            </w:pPr>
          </w:p>
        </w:tc>
      </w:tr>
    </w:tbl>
    <w:p w:rsidR="006D1FAC" w:rsidRPr="006D1FAC" w:rsidRDefault="006D1FAC" w:rsidP="006D1FAC">
      <w:pPr>
        <w:widowControl/>
        <w:jc w:val="center"/>
        <w:rPr>
          <w:rFonts w:ascii="微软雅黑" w:eastAsia="微软雅黑" w:hAnsi="微软雅黑" w:cs="宋体"/>
          <w:color w:val="000000"/>
          <w:kern w:val="0"/>
          <w:sz w:val="18"/>
          <w:szCs w:val="18"/>
        </w:rPr>
      </w:pPr>
      <w:r w:rsidRPr="006D1FAC">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D1FAC" w:rsidRPr="006D1FAC" w:rsidRDefault="006D1FAC" w:rsidP="006D1FAC">
      <w:pPr>
        <w:widowControl/>
        <w:shd w:val="clear" w:color="auto" w:fill="FFFFFF"/>
        <w:spacing w:after="240"/>
        <w:jc w:val="center"/>
        <w:rPr>
          <w:rFonts w:ascii="微软雅黑" w:eastAsia="微软雅黑" w:hAnsi="微软雅黑" w:cs="宋体" w:hint="eastAsia"/>
          <w:color w:val="000000"/>
          <w:kern w:val="0"/>
          <w:sz w:val="18"/>
          <w:szCs w:val="18"/>
        </w:rPr>
      </w:pPr>
      <w:r w:rsidRPr="006D1FAC">
        <w:rPr>
          <w:rFonts w:ascii="微软雅黑" w:eastAsia="微软雅黑" w:hAnsi="微软雅黑" w:cs="宋体" w:hint="eastAsia"/>
          <w:color w:val="000000"/>
          <w:kern w:val="0"/>
          <w:sz w:val="18"/>
          <w:szCs w:val="18"/>
        </w:rPr>
        <w:br/>
      </w:r>
      <w:r w:rsidRPr="006D1FAC">
        <w:rPr>
          <w:rFonts w:ascii="黑体" w:eastAsia="黑体" w:hAnsi="黑体" w:cs="宋体" w:hint="eastAsia"/>
          <w:b/>
          <w:bCs/>
          <w:color w:val="FF0000"/>
          <w:kern w:val="0"/>
          <w:sz w:val="36"/>
          <w:szCs w:val="36"/>
        </w:rPr>
        <w:t>中国证监会行政处罚决定书（刘丹）</w:t>
      </w:r>
    </w:p>
    <w:p w:rsidR="006D1FAC" w:rsidRPr="006D1FAC" w:rsidRDefault="006D1FAC" w:rsidP="006D1FAC">
      <w:pPr>
        <w:widowControl/>
        <w:shd w:val="clear" w:color="auto" w:fill="FFFFFF"/>
        <w:spacing w:line="360" w:lineRule="atLeast"/>
        <w:jc w:val="center"/>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〔2016〕85号</w:t>
      </w:r>
    </w:p>
    <w:p w:rsidR="006D1FAC" w:rsidRPr="006D1FAC" w:rsidRDefault="006D1FAC" w:rsidP="006D1FAC">
      <w:pPr>
        <w:widowControl/>
        <w:shd w:val="clear" w:color="auto" w:fill="FFFFFF"/>
        <w:spacing w:line="360" w:lineRule="atLeast"/>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 </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当事人：刘丹，女，1970年11月出生，住址：湖南省长沙市雨花区。</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依据《中华人民共和国证券法》（以下简称《证券法》）的规定，我会对刘丹内幕交易湖南华升股份有限公司（以下简称华升股份）股票行为进行了立案调查、审理，并依法向当事人告知了</w:t>
      </w:r>
      <w:proofErr w:type="gramStart"/>
      <w:r w:rsidRPr="006D1FAC">
        <w:rPr>
          <w:rFonts w:ascii="宋体" w:eastAsia="宋体" w:hAnsi="宋体" w:cs="宋体" w:hint="eastAsia"/>
          <w:color w:val="000000"/>
          <w:kern w:val="0"/>
          <w:szCs w:val="21"/>
        </w:rPr>
        <w:t>作出</w:t>
      </w:r>
      <w:proofErr w:type="gramEnd"/>
      <w:r w:rsidRPr="006D1FAC">
        <w:rPr>
          <w:rFonts w:ascii="宋体" w:eastAsia="宋体" w:hAnsi="宋体" w:cs="宋体" w:hint="eastAsia"/>
          <w:color w:val="000000"/>
          <w:kern w:val="0"/>
          <w:szCs w:val="21"/>
        </w:rPr>
        <w:t>行政处罚的事实、理由、依据及当事人依法享有的权利。当事人提交了书面陈述申辩材料，并要求听证。应当事人的申请，我会举行了听证会，听取了当事人的陈述申辩意见。本案现已调查、审理终结。</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经查明，刘丹存在以下违法事实：</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一、内幕信息的形成和公开过程</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2014年7月17日，湘财证券股份有限公司（以下简称湘财证券）实际控制人黄某和上海大智慧股份有限公司（以下简称大智慧）董事长张某虹会面，就大智慧以发行股份及支付现金方式百分之百收购湘财证券达成初步意向，且双方就收购方式、收购后各自占大智慧的股权比例达成一致意见。</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2014年7月24日，大智慧、湘财证券及相关中介机构在北京召开沟通会，会议明确提到了大智慧换股收购湘财证券的事宜，并对有关工作进行了研究和布置。湘财证券监事、</w:t>
      </w:r>
      <w:proofErr w:type="gramStart"/>
      <w:r w:rsidRPr="006D1FAC">
        <w:rPr>
          <w:rFonts w:ascii="宋体" w:eastAsia="宋体" w:hAnsi="宋体" w:cs="宋体" w:hint="eastAsia"/>
          <w:color w:val="000000"/>
          <w:kern w:val="0"/>
          <w:szCs w:val="21"/>
        </w:rPr>
        <w:t>董秘办</w:t>
      </w:r>
      <w:proofErr w:type="gramEnd"/>
      <w:r w:rsidRPr="006D1FAC">
        <w:rPr>
          <w:rFonts w:ascii="宋体" w:eastAsia="宋体" w:hAnsi="宋体" w:cs="宋体" w:hint="eastAsia"/>
          <w:color w:val="000000"/>
          <w:kern w:val="0"/>
          <w:szCs w:val="21"/>
        </w:rPr>
        <w:t>主任来某以电话接入方式参加了该次会议。</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2014年8月5日，来某遵照董事长林某波的指示，以电话、短信、邮件等方式通知金瑞新材料科技股份有限公司（以下简称金瑞科技，</w:t>
      </w:r>
      <w:proofErr w:type="gramStart"/>
      <w:r w:rsidRPr="006D1FAC">
        <w:rPr>
          <w:rFonts w:ascii="宋体" w:eastAsia="宋体" w:hAnsi="宋体" w:cs="宋体" w:hint="eastAsia"/>
          <w:color w:val="000000"/>
          <w:kern w:val="0"/>
          <w:szCs w:val="21"/>
        </w:rPr>
        <w:t>系湘财</w:t>
      </w:r>
      <w:proofErr w:type="gramEnd"/>
      <w:r w:rsidRPr="006D1FAC">
        <w:rPr>
          <w:rFonts w:ascii="宋体" w:eastAsia="宋体" w:hAnsi="宋体" w:cs="宋体" w:hint="eastAsia"/>
          <w:color w:val="000000"/>
          <w:kern w:val="0"/>
          <w:szCs w:val="21"/>
        </w:rPr>
        <w:t>证券股东之一）副总经理、董事会秘书刘丹以及湘财证券其他股东代表，告知召开股东通报会的时间、地点。8月9日（星期六），湘财证券在北京召开股东通报会，向股东参会代表通报了大智慧收购湘财证券的具体方案，各股东代表没有对方案提出异议。</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2014年8月11日，华升股份（该公司持有湘财证券2.29%的股份）</w:t>
      </w:r>
      <w:proofErr w:type="gramStart"/>
      <w:r w:rsidRPr="006D1FAC">
        <w:rPr>
          <w:rFonts w:ascii="宋体" w:eastAsia="宋体" w:hAnsi="宋体" w:cs="宋体" w:hint="eastAsia"/>
          <w:color w:val="000000"/>
          <w:kern w:val="0"/>
          <w:szCs w:val="21"/>
        </w:rPr>
        <w:t>因重要</w:t>
      </w:r>
      <w:proofErr w:type="gramEnd"/>
      <w:r w:rsidRPr="006D1FAC">
        <w:rPr>
          <w:rFonts w:ascii="宋体" w:eastAsia="宋体" w:hAnsi="宋体" w:cs="宋体" w:hint="eastAsia"/>
          <w:color w:val="000000"/>
          <w:kern w:val="0"/>
          <w:szCs w:val="21"/>
        </w:rPr>
        <w:t>事项未公告，申请全天停牌。8月12日，华</w:t>
      </w:r>
      <w:proofErr w:type="gramStart"/>
      <w:r w:rsidRPr="006D1FAC">
        <w:rPr>
          <w:rFonts w:ascii="宋体" w:eastAsia="宋体" w:hAnsi="宋体" w:cs="宋体" w:hint="eastAsia"/>
          <w:color w:val="000000"/>
          <w:kern w:val="0"/>
          <w:szCs w:val="21"/>
        </w:rPr>
        <w:t>升股份</w:t>
      </w:r>
      <w:proofErr w:type="gramEnd"/>
      <w:r w:rsidRPr="006D1FAC">
        <w:rPr>
          <w:rFonts w:ascii="宋体" w:eastAsia="宋体" w:hAnsi="宋体" w:cs="宋体" w:hint="eastAsia"/>
          <w:color w:val="000000"/>
          <w:kern w:val="0"/>
          <w:szCs w:val="21"/>
        </w:rPr>
        <w:t>发布了重大事项停牌公告，并于当日召开临时董事会议审议通过了《关于与上海大智慧股份有限公司签署重组意向书的议案》。</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lastRenderedPageBreak/>
        <w:t>2014年8月13日，华</w:t>
      </w:r>
      <w:proofErr w:type="gramStart"/>
      <w:r w:rsidRPr="006D1FAC">
        <w:rPr>
          <w:rFonts w:ascii="宋体" w:eastAsia="宋体" w:hAnsi="宋体" w:cs="宋体" w:hint="eastAsia"/>
          <w:color w:val="000000"/>
          <w:kern w:val="0"/>
          <w:szCs w:val="21"/>
        </w:rPr>
        <w:t>升股份</w:t>
      </w:r>
      <w:proofErr w:type="gramEnd"/>
      <w:r w:rsidRPr="006D1FAC">
        <w:rPr>
          <w:rFonts w:ascii="宋体" w:eastAsia="宋体" w:hAnsi="宋体" w:cs="宋体" w:hint="eastAsia"/>
          <w:color w:val="000000"/>
          <w:kern w:val="0"/>
          <w:szCs w:val="21"/>
        </w:rPr>
        <w:t>发布《关于与上海大智慧股份有限公司签署重组意向书的公告》并复牌。同日，大智慧发布《关于同意与湘财证券股份有限公司现有股东签署重组意向书的公告》，披露大智慧及其全资子公司上海大智慧财</w:t>
      </w:r>
      <w:proofErr w:type="gramStart"/>
      <w:r w:rsidRPr="006D1FAC">
        <w:rPr>
          <w:rFonts w:ascii="宋体" w:eastAsia="宋体" w:hAnsi="宋体" w:cs="宋体" w:hint="eastAsia"/>
          <w:color w:val="000000"/>
          <w:kern w:val="0"/>
          <w:szCs w:val="21"/>
        </w:rPr>
        <w:t>汇数据</w:t>
      </w:r>
      <w:proofErr w:type="gramEnd"/>
      <w:r w:rsidRPr="006D1FAC">
        <w:rPr>
          <w:rFonts w:ascii="宋体" w:eastAsia="宋体" w:hAnsi="宋体" w:cs="宋体" w:hint="eastAsia"/>
          <w:color w:val="000000"/>
          <w:kern w:val="0"/>
          <w:szCs w:val="21"/>
        </w:rPr>
        <w:t>科技有限公司拟与湘财证券现有全体股东签署《重组意向书》，拟通过向湘财证券全体股东非公开发行大智慧股份及支付现金的方式购买湘财证券100%的股份。</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本案所涉事项为“大智慧向湘财证券现有股东发行股份及支付现金购买其所持湘财证券100%股份”，根据《证券法》第六十七条第二款第（二）项、第七十五条第二款第（一）项的规定，构成涉及大智慧的内幕信息。由于华</w:t>
      </w:r>
      <w:proofErr w:type="gramStart"/>
      <w:r w:rsidRPr="006D1FAC">
        <w:rPr>
          <w:rFonts w:ascii="宋体" w:eastAsia="宋体" w:hAnsi="宋体" w:cs="宋体" w:hint="eastAsia"/>
          <w:color w:val="000000"/>
          <w:kern w:val="0"/>
          <w:szCs w:val="21"/>
        </w:rPr>
        <w:t>升股份</w:t>
      </w:r>
      <w:proofErr w:type="gramEnd"/>
      <w:r w:rsidRPr="006D1FAC">
        <w:rPr>
          <w:rFonts w:ascii="宋体" w:eastAsia="宋体" w:hAnsi="宋体" w:cs="宋体" w:hint="eastAsia"/>
          <w:color w:val="000000"/>
          <w:kern w:val="0"/>
          <w:szCs w:val="21"/>
        </w:rPr>
        <w:t>是湘财证券的股东之一，上述事项中同时包括了“大智慧以发行股份方式购买华升股份持有的湘财证券股份”的内容，根据《证券法》第六十七条第二款第（三）项、第七十五条第二款第（一）项的规定，构成涉及华</w:t>
      </w:r>
      <w:proofErr w:type="gramStart"/>
      <w:r w:rsidRPr="006D1FAC">
        <w:rPr>
          <w:rFonts w:ascii="宋体" w:eastAsia="宋体" w:hAnsi="宋体" w:cs="宋体" w:hint="eastAsia"/>
          <w:color w:val="000000"/>
          <w:kern w:val="0"/>
          <w:szCs w:val="21"/>
        </w:rPr>
        <w:t>升股份</w:t>
      </w:r>
      <w:proofErr w:type="gramEnd"/>
      <w:r w:rsidRPr="006D1FAC">
        <w:rPr>
          <w:rFonts w:ascii="宋体" w:eastAsia="宋体" w:hAnsi="宋体" w:cs="宋体" w:hint="eastAsia"/>
          <w:color w:val="000000"/>
          <w:kern w:val="0"/>
          <w:szCs w:val="21"/>
        </w:rPr>
        <w:t>的内幕信息。</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上述内幕信息形成于2014年7月17日，公开于2014年8月13日。来某因履行公司职务获取上述内幕信息，根据《证券法》第七十四条第（四）项的规定，为内幕信息知情人。</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二、刘丹在内幕信息敏感期内交易“华升股份”的情况</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（一）“刘丹”账户交易情况</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2014年8月5日，来</w:t>
      </w:r>
      <w:proofErr w:type="gramStart"/>
      <w:r w:rsidRPr="006D1FAC">
        <w:rPr>
          <w:rFonts w:ascii="宋体" w:eastAsia="宋体" w:hAnsi="宋体" w:cs="宋体" w:hint="eastAsia"/>
          <w:color w:val="000000"/>
          <w:kern w:val="0"/>
          <w:szCs w:val="21"/>
        </w:rPr>
        <w:t>某通知湘</w:t>
      </w:r>
      <w:proofErr w:type="gramEnd"/>
      <w:r w:rsidRPr="006D1FAC">
        <w:rPr>
          <w:rFonts w:ascii="宋体" w:eastAsia="宋体" w:hAnsi="宋体" w:cs="宋体" w:hint="eastAsia"/>
          <w:color w:val="000000"/>
          <w:kern w:val="0"/>
          <w:szCs w:val="21"/>
        </w:rPr>
        <w:t>财证券股东于8月9日到北京召开股东通报会。8月5日14:02:45至14:07:25，来某与刘丹通话联络后，刘丹从14:07:52开始用本人证券账户大量买入“华升股份”。</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2015年8月5日至8月8日，刘丹用本人账户累计买入“华升股份”股票392,700股，卖出17,700股，剩余375,000股在内幕信息公开后于2014年8月13日全部卖出，实际获利136,148.75元。</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（二）“刘丹”账户交易异常情况</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内幕信息公开前，“刘丹”证券账户交易“华升股份”存在以下异常：</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1. “刘丹”证券账户于2006年6月12日开户，在内幕信息敏感期内买入“华升股份”系开户以来首次买入。</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2. 刘丹与内幕信息知情人联络时点为2014年8月5日14:02:45至14:07:25，在内幕信息敏感期内首次买入“华升股份”的时点为该日14:07:52，二者高度吻合。</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3. 刘丹在内幕信息敏感期内不断卖出其他股票买入“华升股份”，且以买入“华升股份”为主，买入量大，有追高买入的情况，买入意愿强烈。</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4. 刘丹在内幕信息敏感期内买入“华升股份”，且在敏感期内主要持有“华升股份”，与华升股份在此期间公开信息反映的基本面明显背离。</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以上事实，有大智慧公告、华升股份公告、相关账户交易数据、相关情况说明、相关人员询问笔录等证据证明，足以认定。</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我会认为，刘丹在内幕信息敏感期内交易“华升股份”，与其和内幕信息知情人来某的联络时点以及内幕信息的形成、进展高度吻合，且交易行为异常，并无合理解释。刘丹的行为违反了《证券法》第七十三条、第七十六条第一款的规定，构成《证券法》第二百零二条所述内幕交易行为。</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lastRenderedPageBreak/>
        <w:t>刘丹提出如下陈述申辩意见：第一，其</w:t>
      </w:r>
      <w:proofErr w:type="gramStart"/>
      <w:r w:rsidRPr="006D1FAC">
        <w:rPr>
          <w:rFonts w:ascii="宋体" w:eastAsia="宋体" w:hAnsi="宋体" w:cs="宋体" w:hint="eastAsia"/>
          <w:color w:val="000000"/>
          <w:kern w:val="0"/>
          <w:szCs w:val="21"/>
        </w:rPr>
        <w:t>不</w:t>
      </w:r>
      <w:proofErr w:type="gramEnd"/>
      <w:r w:rsidRPr="006D1FAC">
        <w:rPr>
          <w:rFonts w:ascii="宋体" w:eastAsia="宋体" w:hAnsi="宋体" w:cs="宋体" w:hint="eastAsia"/>
          <w:color w:val="000000"/>
          <w:kern w:val="0"/>
          <w:szCs w:val="21"/>
        </w:rPr>
        <w:t>知悉内幕信息，交易“华升股份”是基于自己的分析和判断，交易手法符合其交易习惯；第二，我会事先告知书认定“前一个涉及大智慧的内幕信息形成必然导致第二个涉及华升股份的内幕信息基本形成”，逻辑不成立，缺乏事实论证；第三，我会认定其构成内幕交易缺乏证据，恰恰是全案证据足以证明其</w:t>
      </w:r>
      <w:proofErr w:type="gramStart"/>
      <w:r w:rsidRPr="006D1FAC">
        <w:rPr>
          <w:rFonts w:ascii="宋体" w:eastAsia="宋体" w:hAnsi="宋体" w:cs="宋体" w:hint="eastAsia"/>
          <w:color w:val="000000"/>
          <w:kern w:val="0"/>
          <w:szCs w:val="21"/>
        </w:rPr>
        <w:t>不</w:t>
      </w:r>
      <w:proofErr w:type="gramEnd"/>
      <w:r w:rsidRPr="006D1FAC">
        <w:rPr>
          <w:rFonts w:ascii="宋体" w:eastAsia="宋体" w:hAnsi="宋体" w:cs="宋体" w:hint="eastAsia"/>
          <w:color w:val="000000"/>
          <w:kern w:val="0"/>
          <w:szCs w:val="21"/>
        </w:rPr>
        <w:t>知悉相关内幕信息这一客观事实。</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经复核，我会认为：第一，刘丹时任金瑞科技董秘，来某时任湘财证券</w:t>
      </w:r>
      <w:proofErr w:type="gramStart"/>
      <w:r w:rsidRPr="006D1FAC">
        <w:rPr>
          <w:rFonts w:ascii="宋体" w:eastAsia="宋体" w:hAnsi="宋体" w:cs="宋体" w:hint="eastAsia"/>
          <w:color w:val="000000"/>
          <w:kern w:val="0"/>
          <w:szCs w:val="21"/>
        </w:rPr>
        <w:t>董秘办</w:t>
      </w:r>
      <w:proofErr w:type="gramEnd"/>
      <w:r w:rsidRPr="006D1FAC">
        <w:rPr>
          <w:rFonts w:ascii="宋体" w:eastAsia="宋体" w:hAnsi="宋体" w:cs="宋体" w:hint="eastAsia"/>
          <w:color w:val="000000"/>
          <w:kern w:val="0"/>
          <w:szCs w:val="21"/>
        </w:rPr>
        <w:t>主任，金瑞</w:t>
      </w:r>
      <w:proofErr w:type="gramStart"/>
      <w:r w:rsidRPr="006D1FAC">
        <w:rPr>
          <w:rFonts w:ascii="宋体" w:eastAsia="宋体" w:hAnsi="宋体" w:cs="宋体" w:hint="eastAsia"/>
          <w:color w:val="000000"/>
          <w:kern w:val="0"/>
          <w:szCs w:val="21"/>
        </w:rPr>
        <w:t>科技系湘财</w:t>
      </w:r>
      <w:proofErr w:type="gramEnd"/>
      <w:r w:rsidRPr="006D1FAC">
        <w:rPr>
          <w:rFonts w:ascii="宋体" w:eastAsia="宋体" w:hAnsi="宋体" w:cs="宋体" w:hint="eastAsia"/>
          <w:color w:val="000000"/>
          <w:kern w:val="0"/>
          <w:szCs w:val="21"/>
        </w:rPr>
        <w:t>证券股东，二人存在日常工作联系。内幕信息敏感期内二人有电话联络，且通话时间长达4分40秒。通话结束后27秒，刘丹即以较大金额首次买入“华升股份”，联络与交易时点高度吻合。</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第二，刘丹在内幕信息敏感期内的交易行为明显异常。虽然其所称是基于自己的分析判断买入，且交易手法符合其交易习惯，但不足以解释其交易的合理性，不能排除对其交易存在异常的认定。</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第三，本案内幕信息源于大智慧换股收购湘财证券，是一揽子计划。从信息内容上看，本案内幕信息“大智慧以发行股份方式购买华升股份持有的湘财证券股份”是“大智慧向湘财证券全体股东非公开发行股份及支付现金购买湘财证券100%的股份”这一重大重组事项的组成部分。大智慧方案主要由大智慧与湘财证券实际控制人动议、主导，并起到决定性作用。在整个方案的形成过程中，湘财证券小股东均没有参与，仅在2014年8月9日通报会上得知此事且没有实质性不同意见。因此，大智慧换股收购湘财证券方案一经形成，“大智慧以发行股份方式购买华升股份持有的湘财证券股份”的信息也即形成。从重大性上看，根据华升股份2015年1月23日发布的《关于参与上海大智慧股份有限公司发行股份及支付现金购买资产交易并签署相关交易协议的公告》，大智慧购买华升股份所持湘财证券股权的成交金额占华升股份最近一期经审计的净资产的比例为27.93%，股权交易增加公司的净利润占华升股份最近一个会计年度经审计净利润的比例为206.27%。2014年8月12日，华升股份发布重大事项停牌公告，也印证了该信息的重大性。且该信息在2014年8月13日华升股份公告前具有未公开性。本案认定内幕信息有事实和法律依据。</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第四，刘丹于内幕信息敏感期间同内幕信息知情人存在电话联络，紧接着买入涉案股票，相关交易明显异常且与内幕信息进程及传递高度吻合，符合综合各类证据认定构成内幕交易的一贯执法逻辑。</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综上，我会对刘丹的陈述申辩意见不予采纳。</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根据当事人违法行为的事实、性质、情节与社会危害程度，依据《证券法》第二百零二条的规定，我会决定：没收刘丹违法所得136,148.75元，并处以136,148.75元罚款。</w:t>
      </w:r>
    </w:p>
    <w:p w:rsidR="006D1FAC" w:rsidRPr="006D1FAC" w:rsidRDefault="006D1FAC" w:rsidP="006D1FAC">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6D1FAC" w:rsidRPr="006D1FAC" w:rsidRDefault="006D1FAC" w:rsidP="006D1FAC">
      <w:pPr>
        <w:widowControl/>
        <w:shd w:val="clear" w:color="auto" w:fill="FFFFFF"/>
        <w:spacing w:line="360" w:lineRule="atLeast"/>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 </w:t>
      </w:r>
    </w:p>
    <w:p w:rsidR="006D1FAC" w:rsidRPr="006D1FAC" w:rsidRDefault="006D1FAC" w:rsidP="006D1FAC">
      <w:pPr>
        <w:widowControl/>
        <w:shd w:val="clear" w:color="auto" w:fill="FFFFFF"/>
        <w:spacing w:line="360" w:lineRule="atLeast"/>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lastRenderedPageBreak/>
        <w:t> </w:t>
      </w:r>
    </w:p>
    <w:p w:rsidR="006D1FAC" w:rsidRPr="006D1FAC" w:rsidRDefault="006D1FAC" w:rsidP="006D1FAC">
      <w:pPr>
        <w:widowControl/>
        <w:shd w:val="clear" w:color="auto" w:fill="FFFFFF"/>
        <w:spacing w:line="360" w:lineRule="atLeast"/>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 </w:t>
      </w:r>
    </w:p>
    <w:p w:rsidR="006D1FAC" w:rsidRPr="006D1FAC" w:rsidRDefault="006D1FAC" w:rsidP="006D1FAC">
      <w:pPr>
        <w:widowControl/>
        <w:shd w:val="clear" w:color="auto" w:fill="FFFFFF"/>
        <w:spacing w:line="360" w:lineRule="atLeast"/>
        <w:jc w:val="lef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 </w:t>
      </w:r>
    </w:p>
    <w:p w:rsidR="006D1FAC" w:rsidRPr="006D1FAC" w:rsidRDefault="006D1FAC" w:rsidP="006D1FA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中国证监会</w:t>
      </w:r>
      <w:proofErr w:type="gramStart"/>
      <w:r w:rsidRPr="006D1FAC">
        <w:rPr>
          <w:rFonts w:ascii="宋体" w:eastAsia="宋体" w:hAnsi="宋体" w:cs="宋体" w:hint="eastAsia"/>
          <w:color w:val="000000"/>
          <w:kern w:val="0"/>
          <w:szCs w:val="21"/>
        </w:rPr>
        <w:t xml:space="preserve">　　　　　</w:t>
      </w:r>
      <w:proofErr w:type="gramEnd"/>
      <w:r w:rsidRPr="006D1FAC">
        <w:rPr>
          <w:rFonts w:ascii="宋体" w:eastAsia="宋体" w:hAnsi="宋体" w:cs="宋体" w:hint="eastAsia"/>
          <w:color w:val="000000"/>
          <w:kern w:val="0"/>
          <w:szCs w:val="21"/>
        </w:rPr>
        <w:t> </w:t>
      </w:r>
    </w:p>
    <w:p w:rsidR="006D1FAC" w:rsidRPr="006D1FAC" w:rsidRDefault="006D1FAC" w:rsidP="006D1FA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D1FAC">
        <w:rPr>
          <w:rFonts w:ascii="宋体" w:eastAsia="宋体" w:hAnsi="宋体" w:cs="宋体" w:hint="eastAsia"/>
          <w:color w:val="000000"/>
          <w:kern w:val="0"/>
          <w:szCs w:val="21"/>
        </w:rPr>
        <w:t xml:space="preserve">2016年7月12日　　</w:t>
      </w:r>
      <w:proofErr w:type="gramStart"/>
      <w:r w:rsidRPr="006D1FAC">
        <w:rPr>
          <w:rFonts w:ascii="宋体" w:eastAsia="宋体" w:hAnsi="宋体" w:cs="宋体" w:hint="eastAsia"/>
          <w:color w:val="000000"/>
          <w:kern w:val="0"/>
          <w:szCs w:val="21"/>
        </w:rPr>
        <w:t xml:space="preserve">　　</w:t>
      </w:r>
      <w:proofErr w:type="gramEnd"/>
    </w:p>
    <w:p w:rsidR="006D1FAC" w:rsidRPr="006D1FAC" w:rsidRDefault="006D1FAC" w:rsidP="006D1FA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D1FAC" w:rsidRPr="006D1FAC" w:rsidTr="006D1FAC">
        <w:trPr>
          <w:tblCellSpacing w:w="15" w:type="dxa"/>
          <w:jc w:val="center"/>
        </w:trPr>
        <w:tc>
          <w:tcPr>
            <w:tcW w:w="900" w:type="dxa"/>
            <w:vAlign w:val="center"/>
            <w:hideMark/>
          </w:tcPr>
          <w:p w:rsidR="006D1FAC" w:rsidRPr="006D1FAC" w:rsidRDefault="006D1FAC" w:rsidP="006D1FAC">
            <w:pPr>
              <w:widowControl/>
              <w:jc w:val="left"/>
              <w:rPr>
                <w:rFonts w:ascii="宋体" w:eastAsia="宋体" w:hAnsi="宋体" w:cs="宋体" w:hint="eastAsia"/>
                <w:kern w:val="0"/>
                <w:sz w:val="18"/>
                <w:szCs w:val="18"/>
              </w:rPr>
            </w:pPr>
            <w:r w:rsidRPr="006D1FAC">
              <w:rPr>
                <w:rFonts w:ascii="宋体" w:eastAsia="宋体" w:hAnsi="宋体" w:cs="宋体"/>
                <w:kern w:val="0"/>
                <w:sz w:val="18"/>
                <w:szCs w:val="18"/>
              </w:rPr>
              <w:t> </w:t>
            </w:r>
          </w:p>
        </w:tc>
        <w:tc>
          <w:tcPr>
            <w:tcW w:w="1200" w:type="dxa"/>
            <w:vAlign w:val="center"/>
            <w:hideMark/>
          </w:tcPr>
          <w:p w:rsidR="006D1FAC" w:rsidRPr="006D1FAC" w:rsidRDefault="006D1FAC" w:rsidP="006D1FAC">
            <w:pPr>
              <w:widowControl/>
              <w:jc w:val="left"/>
              <w:rPr>
                <w:rFonts w:ascii="宋体" w:eastAsia="宋体" w:hAnsi="宋体" w:cs="宋体"/>
                <w:kern w:val="0"/>
                <w:sz w:val="18"/>
                <w:szCs w:val="18"/>
              </w:rPr>
            </w:pPr>
            <w:r w:rsidRPr="006D1FAC">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D1FAC" w:rsidRPr="006D1FAC" w:rsidRDefault="006D1FAC" w:rsidP="006D1FAC">
            <w:pPr>
              <w:widowControl/>
              <w:jc w:val="left"/>
              <w:rPr>
                <w:rFonts w:ascii="宋体" w:eastAsia="宋体" w:hAnsi="宋体" w:cs="宋体"/>
                <w:kern w:val="0"/>
                <w:sz w:val="18"/>
                <w:szCs w:val="18"/>
              </w:rPr>
            </w:pPr>
            <w:r w:rsidRPr="006D1FAC">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D1FAC" w:rsidRPr="006D1FAC" w:rsidRDefault="006D1FAC" w:rsidP="006D1FAC">
            <w:pPr>
              <w:widowControl/>
              <w:jc w:val="left"/>
              <w:rPr>
                <w:rFonts w:ascii="宋体" w:eastAsia="宋体" w:hAnsi="宋体" w:cs="宋体"/>
                <w:kern w:val="0"/>
                <w:sz w:val="18"/>
                <w:szCs w:val="18"/>
              </w:rPr>
            </w:pPr>
            <w:r w:rsidRPr="006D1FAC">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D1FAC" w:rsidRPr="006D1FAC" w:rsidRDefault="006D1FAC" w:rsidP="006D1FAC">
      <w:pPr>
        <w:widowControl/>
        <w:jc w:val="center"/>
        <w:rPr>
          <w:rFonts w:ascii="微软雅黑" w:eastAsia="微软雅黑" w:hAnsi="微软雅黑" w:cs="宋体"/>
          <w:color w:val="515151"/>
          <w:kern w:val="0"/>
          <w:sz w:val="18"/>
          <w:szCs w:val="18"/>
        </w:rPr>
      </w:pPr>
      <w:hyperlink r:id="rId11" w:tgtFrame="_blank" w:history="1">
        <w:r w:rsidRPr="006D1FAC">
          <w:rPr>
            <w:rFonts w:ascii="微软雅黑" w:eastAsia="微软雅黑" w:hAnsi="微软雅黑" w:cs="宋体" w:hint="eastAsia"/>
            <w:color w:val="0000FF"/>
            <w:kern w:val="0"/>
            <w:sz w:val="18"/>
            <w:szCs w:val="18"/>
            <w:u w:val="single"/>
          </w:rPr>
          <w:t>关于我们</w:t>
        </w:r>
      </w:hyperlink>
      <w:r w:rsidRPr="006D1FAC">
        <w:rPr>
          <w:rFonts w:ascii="微软雅黑" w:eastAsia="微软雅黑" w:hAnsi="微软雅黑" w:cs="宋体" w:hint="eastAsia"/>
          <w:color w:val="515151"/>
          <w:kern w:val="0"/>
          <w:sz w:val="18"/>
          <w:szCs w:val="18"/>
        </w:rPr>
        <w:t> - </w:t>
      </w:r>
      <w:hyperlink r:id="rId12" w:tgtFrame="_blank" w:history="1">
        <w:r w:rsidRPr="006D1FAC">
          <w:rPr>
            <w:rFonts w:ascii="微软雅黑" w:eastAsia="微软雅黑" w:hAnsi="微软雅黑" w:cs="宋体" w:hint="eastAsia"/>
            <w:color w:val="0000FF"/>
            <w:kern w:val="0"/>
            <w:sz w:val="18"/>
            <w:szCs w:val="18"/>
            <w:u w:val="single"/>
          </w:rPr>
          <w:t>法律声明</w:t>
        </w:r>
      </w:hyperlink>
      <w:r w:rsidRPr="006D1FAC">
        <w:rPr>
          <w:rFonts w:ascii="微软雅黑" w:eastAsia="微软雅黑" w:hAnsi="微软雅黑" w:cs="宋体" w:hint="eastAsia"/>
          <w:color w:val="515151"/>
          <w:kern w:val="0"/>
          <w:sz w:val="18"/>
          <w:szCs w:val="18"/>
        </w:rPr>
        <w:t> - </w:t>
      </w:r>
      <w:hyperlink r:id="rId13" w:tgtFrame="_blank" w:history="1">
        <w:r w:rsidRPr="006D1FAC">
          <w:rPr>
            <w:rFonts w:ascii="微软雅黑" w:eastAsia="微软雅黑" w:hAnsi="微软雅黑" w:cs="宋体" w:hint="eastAsia"/>
            <w:color w:val="0000FF"/>
            <w:kern w:val="0"/>
            <w:sz w:val="18"/>
            <w:szCs w:val="18"/>
            <w:u w:val="single"/>
          </w:rPr>
          <w:t>联系我们</w:t>
        </w:r>
      </w:hyperlink>
    </w:p>
    <w:p w:rsidR="006D1FAC" w:rsidRPr="006D1FAC" w:rsidRDefault="006D1FAC" w:rsidP="006D1FAC">
      <w:pPr>
        <w:widowControl/>
        <w:jc w:val="center"/>
        <w:rPr>
          <w:rFonts w:ascii="微软雅黑" w:eastAsia="微软雅黑" w:hAnsi="微软雅黑" w:cs="宋体" w:hint="eastAsia"/>
          <w:color w:val="515151"/>
          <w:kern w:val="0"/>
          <w:sz w:val="18"/>
          <w:szCs w:val="18"/>
        </w:rPr>
      </w:pPr>
      <w:r w:rsidRPr="006D1FAC">
        <w:rPr>
          <w:rFonts w:ascii="微软雅黑" w:eastAsia="微软雅黑" w:hAnsi="微软雅黑" w:cs="宋体" w:hint="eastAsia"/>
          <w:color w:val="515151"/>
          <w:kern w:val="0"/>
          <w:sz w:val="18"/>
          <w:szCs w:val="18"/>
        </w:rPr>
        <w:t>版权所有：中国证券监督管理委员会 京ICP备 05035542号</w:t>
      </w:r>
    </w:p>
    <w:p w:rsidR="006D1FAC" w:rsidRPr="006D1FAC" w:rsidRDefault="006D1FAC" w:rsidP="006D1FAC">
      <w:pPr>
        <w:widowControl/>
        <w:jc w:val="center"/>
        <w:rPr>
          <w:rFonts w:ascii="微软雅黑" w:eastAsia="微软雅黑" w:hAnsi="微软雅黑" w:cs="宋体" w:hint="eastAsia"/>
          <w:color w:val="515151"/>
          <w:kern w:val="0"/>
          <w:sz w:val="18"/>
          <w:szCs w:val="18"/>
        </w:rPr>
      </w:pPr>
      <w:r w:rsidRPr="006D1FAC">
        <w:rPr>
          <w:rFonts w:ascii="微软雅黑" w:eastAsia="微软雅黑" w:hAnsi="微软雅黑" w:cs="宋体" w:hint="eastAsia"/>
          <w:color w:val="515151"/>
          <w:kern w:val="0"/>
          <w:sz w:val="18"/>
          <w:szCs w:val="18"/>
        </w:rPr>
        <w:t>地址：北京市西城区金融大街19号富凯大厦A座 邮编：100033</w:t>
      </w:r>
    </w:p>
    <w:p w:rsidR="006D1FAC" w:rsidRPr="006D1FAC" w:rsidRDefault="006D1FAC" w:rsidP="006D1FAC">
      <w:pPr>
        <w:widowControl/>
        <w:jc w:val="center"/>
        <w:rPr>
          <w:rFonts w:ascii="微软雅黑" w:eastAsia="微软雅黑" w:hAnsi="微软雅黑" w:cs="宋体" w:hint="eastAsia"/>
          <w:color w:val="515151"/>
          <w:kern w:val="0"/>
          <w:sz w:val="18"/>
          <w:szCs w:val="18"/>
        </w:rPr>
      </w:pPr>
      <w:r w:rsidRPr="006D1FAC">
        <w:rPr>
          <w:rFonts w:ascii="微软雅黑" w:eastAsia="微软雅黑" w:hAnsi="微软雅黑" w:cs="宋体" w:hint="eastAsia"/>
          <w:color w:val="515151"/>
          <w:kern w:val="0"/>
          <w:sz w:val="18"/>
          <w:szCs w:val="18"/>
        </w:rPr>
        <w:t>建议使用IE5.5以上浏览器，分辨率1024*768</w:t>
      </w:r>
    </w:p>
    <w:p w:rsidR="00801F9F" w:rsidRPr="006D1FAC" w:rsidRDefault="00801F9F"/>
    <w:sectPr w:rsidR="00801F9F" w:rsidRPr="006D1F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AC"/>
    <w:rsid w:val="006D1FAC"/>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44833-C179-48FA-BF4C-73BA090B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D1FA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D1FAC"/>
    <w:rPr>
      <w:b/>
      <w:bCs/>
    </w:rPr>
  </w:style>
  <w:style w:type="paragraph" w:customStyle="1" w:styleId="p0">
    <w:name w:val="p0"/>
    <w:basedOn w:val="a"/>
    <w:rsid w:val="006D1FA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D1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00935">
      <w:bodyDiv w:val="1"/>
      <w:marLeft w:val="0"/>
      <w:marRight w:val="0"/>
      <w:marTop w:val="0"/>
      <w:marBottom w:val="0"/>
      <w:divBdr>
        <w:top w:val="none" w:sz="0" w:space="0" w:color="auto"/>
        <w:left w:val="none" w:sz="0" w:space="0" w:color="auto"/>
        <w:bottom w:val="none" w:sz="0" w:space="0" w:color="auto"/>
        <w:right w:val="none" w:sz="0" w:space="0" w:color="auto"/>
      </w:divBdr>
      <w:divsChild>
        <w:div w:id="1046830401">
          <w:marLeft w:val="0"/>
          <w:marRight w:val="0"/>
          <w:marTop w:val="150"/>
          <w:marBottom w:val="150"/>
          <w:divBdr>
            <w:top w:val="none" w:sz="0" w:space="0" w:color="auto"/>
            <w:left w:val="none" w:sz="0" w:space="0" w:color="auto"/>
            <w:bottom w:val="none" w:sz="0" w:space="0" w:color="auto"/>
            <w:right w:val="none" w:sz="0" w:space="0" w:color="auto"/>
          </w:divBdr>
        </w:div>
        <w:div w:id="168371015">
          <w:marLeft w:val="0"/>
          <w:marRight w:val="0"/>
          <w:marTop w:val="0"/>
          <w:marBottom w:val="0"/>
          <w:divBdr>
            <w:top w:val="single" w:sz="6" w:space="8" w:color="B5B5B5"/>
            <w:left w:val="single" w:sz="6" w:space="0" w:color="B5B5B5"/>
            <w:bottom w:val="single" w:sz="6" w:space="8" w:color="B5B5B5"/>
            <w:right w:val="single" w:sz="6" w:space="0" w:color="B5B5B5"/>
          </w:divBdr>
          <w:divsChild>
            <w:div w:id="941424748">
              <w:marLeft w:val="0"/>
              <w:marRight w:val="0"/>
              <w:marTop w:val="0"/>
              <w:marBottom w:val="0"/>
              <w:divBdr>
                <w:top w:val="none" w:sz="0" w:space="0" w:color="auto"/>
                <w:left w:val="none" w:sz="0" w:space="0" w:color="auto"/>
                <w:bottom w:val="none" w:sz="0" w:space="0" w:color="auto"/>
                <w:right w:val="none" w:sz="0" w:space="0" w:color="auto"/>
              </w:divBdr>
            </w:div>
            <w:div w:id="1127625874">
              <w:marLeft w:val="0"/>
              <w:marRight w:val="0"/>
              <w:marTop w:val="0"/>
              <w:marBottom w:val="0"/>
              <w:divBdr>
                <w:top w:val="none" w:sz="0" w:space="0" w:color="auto"/>
                <w:left w:val="none" w:sz="0" w:space="0" w:color="auto"/>
                <w:bottom w:val="none" w:sz="0" w:space="0" w:color="auto"/>
                <w:right w:val="none" w:sz="0" w:space="0" w:color="auto"/>
              </w:divBdr>
            </w:div>
            <w:div w:id="1311978583">
              <w:marLeft w:val="0"/>
              <w:marRight w:val="0"/>
              <w:marTop w:val="120"/>
              <w:marBottom w:val="120"/>
              <w:divBdr>
                <w:top w:val="none" w:sz="0" w:space="0" w:color="auto"/>
                <w:left w:val="none" w:sz="0" w:space="0" w:color="auto"/>
                <w:bottom w:val="none" w:sz="0" w:space="0" w:color="auto"/>
                <w:right w:val="none" w:sz="0" w:space="0" w:color="auto"/>
              </w:divBdr>
            </w:div>
          </w:divsChild>
        </w:div>
        <w:div w:id="41906858">
          <w:marLeft w:val="0"/>
          <w:marRight w:val="0"/>
          <w:marTop w:val="120"/>
          <w:marBottom w:val="0"/>
          <w:divBdr>
            <w:top w:val="none" w:sz="0" w:space="0" w:color="auto"/>
            <w:left w:val="none" w:sz="0" w:space="0" w:color="auto"/>
            <w:bottom w:val="none" w:sz="0" w:space="0" w:color="auto"/>
            <w:right w:val="none" w:sz="0" w:space="0" w:color="auto"/>
          </w:divBdr>
          <w:divsChild>
            <w:div w:id="1577130400">
              <w:marLeft w:val="0"/>
              <w:marRight w:val="0"/>
              <w:marTop w:val="60"/>
              <w:marBottom w:val="0"/>
              <w:divBdr>
                <w:top w:val="none" w:sz="0" w:space="0" w:color="auto"/>
                <w:left w:val="none" w:sz="0" w:space="0" w:color="auto"/>
                <w:bottom w:val="none" w:sz="0" w:space="0" w:color="auto"/>
                <w:right w:val="none" w:sz="0" w:space="0" w:color="auto"/>
              </w:divBdr>
            </w:div>
            <w:div w:id="371812089">
              <w:marLeft w:val="0"/>
              <w:marRight w:val="0"/>
              <w:marTop w:val="60"/>
              <w:marBottom w:val="0"/>
              <w:divBdr>
                <w:top w:val="none" w:sz="0" w:space="0" w:color="auto"/>
                <w:left w:val="none" w:sz="0" w:space="0" w:color="auto"/>
                <w:bottom w:val="none" w:sz="0" w:space="0" w:color="auto"/>
                <w:right w:val="none" w:sz="0" w:space="0" w:color="auto"/>
              </w:divBdr>
            </w:div>
            <w:div w:id="1969041189">
              <w:marLeft w:val="0"/>
              <w:marRight w:val="0"/>
              <w:marTop w:val="60"/>
              <w:marBottom w:val="0"/>
              <w:divBdr>
                <w:top w:val="none" w:sz="0" w:space="0" w:color="auto"/>
                <w:left w:val="none" w:sz="0" w:space="0" w:color="auto"/>
                <w:bottom w:val="none" w:sz="0" w:space="0" w:color="auto"/>
                <w:right w:val="none" w:sz="0" w:space="0" w:color="auto"/>
              </w:divBdr>
            </w:div>
            <w:div w:id="10805638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7/t20160719_30090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2020-02-17T14:44:00Z</dcterms:created>
  <dcterms:modified xsi:type="dcterms:W3CDTF">2020-02-17T14:44:00Z</dcterms:modified>
</cp:coreProperties>
</file>