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B86" w:rsidRPr="00AF5B86" w:rsidRDefault="00AF5B86" w:rsidP="00AF5B86">
      <w:pPr>
        <w:widowControl/>
        <w:jc w:val="center"/>
        <w:rPr>
          <w:rFonts w:ascii="微软雅黑" w:eastAsia="微软雅黑" w:hAnsi="微软雅黑" w:cs="宋体"/>
          <w:color w:val="000000"/>
          <w:kern w:val="0"/>
          <w:sz w:val="18"/>
          <w:szCs w:val="18"/>
        </w:rPr>
      </w:pPr>
      <w:r w:rsidRPr="00AF5B86">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AF5B86" w:rsidRPr="00AF5B86" w:rsidTr="00AF5B8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F5B86" w:rsidRPr="00AF5B86">
              <w:trPr>
                <w:tblCellSpacing w:w="0" w:type="dxa"/>
              </w:trPr>
              <w:tc>
                <w:tcPr>
                  <w:tcW w:w="2500" w:type="pct"/>
                  <w:tcMar>
                    <w:top w:w="30" w:type="dxa"/>
                    <w:left w:w="30" w:type="dxa"/>
                    <w:bottom w:w="30" w:type="dxa"/>
                    <w:right w:w="30" w:type="dxa"/>
                  </w:tcMar>
                  <w:hideMark/>
                </w:tcPr>
                <w:p w:rsidR="00AF5B86" w:rsidRPr="00AF5B86" w:rsidRDefault="00AF5B86" w:rsidP="00AF5B86">
                  <w:pPr>
                    <w:widowControl/>
                    <w:jc w:val="left"/>
                    <w:rPr>
                      <w:rFonts w:ascii="宋体" w:eastAsia="宋体" w:hAnsi="宋体" w:cs="宋体" w:hint="eastAsia"/>
                      <w:color w:val="686868"/>
                      <w:kern w:val="0"/>
                      <w:sz w:val="18"/>
                      <w:szCs w:val="18"/>
                    </w:rPr>
                  </w:pPr>
                  <w:r w:rsidRPr="00AF5B86">
                    <w:rPr>
                      <w:rFonts w:ascii="宋体" w:eastAsia="宋体" w:hAnsi="宋体" w:cs="宋体"/>
                      <w:b/>
                      <w:bCs/>
                      <w:color w:val="686868"/>
                      <w:kern w:val="0"/>
                      <w:sz w:val="18"/>
                      <w:szCs w:val="18"/>
                    </w:rPr>
                    <w:t>索 引 号:</w:t>
                  </w:r>
                  <w:r w:rsidRPr="00AF5B86">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AF5B86" w:rsidRPr="00AF5B86" w:rsidRDefault="00AF5B86" w:rsidP="00AF5B86">
                  <w:pPr>
                    <w:widowControl/>
                    <w:jc w:val="left"/>
                    <w:rPr>
                      <w:rFonts w:ascii="宋体" w:eastAsia="宋体" w:hAnsi="宋体" w:cs="宋体"/>
                      <w:color w:val="686868"/>
                      <w:kern w:val="0"/>
                      <w:sz w:val="18"/>
                      <w:szCs w:val="18"/>
                    </w:rPr>
                  </w:pPr>
                  <w:r w:rsidRPr="00AF5B86">
                    <w:rPr>
                      <w:rFonts w:ascii="宋体" w:eastAsia="宋体" w:hAnsi="宋体" w:cs="宋体"/>
                      <w:b/>
                      <w:bCs/>
                      <w:color w:val="686868"/>
                      <w:kern w:val="0"/>
                      <w:sz w:val="18"/>
                      <w:szCs w:val="18"/>
                    </w:rPr>
                    <w:t>分类:</w:t>
                  </w:r>
                  <w:r w:rsidRPr="00AF5B86">
                    <w:rPr>
                      <w:rFonts w:ascii="宋体" w:eastAsia="宋体" w:hAnsi="宋体" w:cs="宋体"/>
                      <w:color w:val="686868"/>
                      <w:kern w:val="0"/>
                      <w:sz w:val="18"/>
                      <w:szCs w:val="18"/>
                    </w:rPr>
                    <w:t> 行政处罚 ; 行政处罚决定</w:t>
                  </w:r>
                </w:p>
              </w:tc>
            </w:tr>
          </w:tbl>
          <w:p w:rsidR="00AF5B86" w:rsidRPr="00AF5B86" w:rsidRDefault="00AF5B86" w:rsidP="00AF5B86">
            <w:pPr>
              <w:widowControl/>
              <w:jc w:val="left"/>
              <w:rPr>
                <w:rFonts w:ascii="宋体" w:eastAsia="宋体" w:hAnsi="宋体" w:cs="宋体"/>
                <w:color w:val="686868"/>
                <w:kern w:val="0"/>
                <w:sz w:val="18"/>
                <w:szCs w:val="18"/>
              </w:rPr>
            </w:pPr>
          </w:p>
        </w:tc>
      </w:tr>
      <w:tr w:rsidR="00AF5B86" w:rsidRPr="00AF5B86" w:rsidTr="00AF5B8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F5B86" w:rsidRPr="00AF5B86">
              <w:trPr>
                <w:tblCellSpacing w:w="0" w:type="dxa"/>
              </w:trPr>
              <w:tc>
                <w:tcPr>
                  <w:tcW w:w="2500" w:type="pct"/>
                  <w:tcMar>
                    <w:top w:w="30" w:type="dxa"/>
                    <w:left w:w="30" w:type="dxa"/>
                    <w:bottom w:w="30" w:type="dxa"/>
                    <w:right w:w="30" w:type="dxa"/>
                  </w:tcMar>
                  <w:hideMark/>
                </w:tcPr>
                <w:p w:rsidR="00AF5B86" w:rsidRPr="00AF5B86" w:rsidRDefault="00AF5B86" w:rsidP="00AF5B86">
                  <w:pPr>
                    <w:widowControl/>
                    <w:jc w:val="left"/>
                    <w:rPr>
                      <w:rFonts w:ascii="宋体" w:eastAsia="宋体" w:hAnsi="宋体" w:cs="宋体"/>
                      <w:color w:val="686868"/>
                      <w:kern w:val="0"/>
                      <w:sz w:val="18"/>
                      <w:szCs w:val="18"/>
                    </w:rPr>
                  </w:pPr>
                  <w:r w:rsidRPr="00AF5B86">
                    <w:rPr>
                      <w:rFonts w:ascii="宋体" w:eastAsia="宋体" w:hAnsi="宋体" w:cs="宋体"/>
                      <w:b/>
                      <w:bCs/>
                      <w:color w:val="686868"/>
                      <w:kern w:val="0"/>
                      <w:sz w:val="18"/>
                      <w:szCs w:val="18"/>
                    </w:rPr>
                    <w:t>发布机构:</w:t>
                  </w:r>
                  <w:r w:rsidRPr="00AF5B86">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AF5B86" w:rsidRPr="00AF5B86" w:rsidRDefault="00AF5B86" w:rsidP="00AF5B86">
                  <w:pPr>
                    <w:widowControl/>
                    <w:jc w:val="left"/>
                    <w:rPr>
                      <w:rFonts w:ascii="宋体" w:eastAsia="宋体" w:hAnsi="宋体" w:cs="宋体"/>
                      <w:color w:val="686868"/>
                      <w:kern w:val="0"/>
                      <w:sz w:val="18"/>
                      <w:szCs w:val="18"/>
                    </w:rPr>
                  </w:pPr>
                  <w:r w:rsidRPr="00AF5B86">
                    <w:rPr>
                      <w:rFonts w:ascii="宋体" w:eastAsia="宋体" w:hAnsi="宋体" w:cs="宋体"/>
                      <w:b/>
                      <w:bCs/>
                      <w:color w:val="686868"/>
                      <w:kern w:val="0"/>
                      <w:sz w:val="18"/>
                      <w:szCs w:val="18"/>
                    </w:rPr>
                    <w:t>发文日期:</w:t>
                  </w:r>
                  <w:r w:rsidRPr="00AF5B86">
                    <w:rPr>
                      <w:rFonts w:ascii="宋体" w:eastAsia="宋体" w:hAnsi="宋体" w:cs="宋体"/>
                      <w:color w:val="686868"/>
                      <w:kern w:val="0"/>
                      <w:sz w:val="18"/>
                      <w:szCs w:val="18"/>
                    </w:rPr>
                    <w:t> 2016年08月16日</w:t>
                  </w:r>
                </w:p>
              </w:tc>
            </w:tr>
          </w:tbl>
          <w:p w:rsidR="00AF5B86" w:rsidRPr="00AF5B86" w:rsidRDefault="00AF5B86" w:rsidP="00AF5B86">
            <w:pPr>
              <w:widowControl/>
              <w:jc w:val="left"/>
              <w:rPr>
                <w:rFonts w:ascii="宋体" w:eastAsia="宋体" w:hAnsi="宋体" w:cs="宋体"/>
                <w:color w:val="686868"/>
                <w:kern w:val="0"/>
                <w:sz w:val="18"/>
                <w:szCs w:val="18"/>
              </w:rPr>
            </w:pPr>
          </w:p>
        </w:tc>
      </w:tr>
      <w:tr w:rsidR="00AF5B86" w:rsidRPr="00AF5B86" w:rsidTr="00AF5B86">
        <w:trPr>
          <w:tblCellSpacing w:w="0" w:type="dxa"/>
          <w:jc w:val="center"/>
        </w:trPr>
        <w:tc>
          <w:tcPr>
            <w:tcW w:w="0" w:type="auto"/>
            <w:tcMar>
              <w:top w:w="30" w:type="dxa"/>
              <w:left w:w="30" w:type="dxa"/>
              <w:bottom w:w="30" w:type="dxa"/>
              <w:right w:w="30" w:type="dxa"/>
            </w:tcMar>
            <w:hideMark/>
          </w:tcPr>
          <w:p w:rsidR="00AF5B86" w:rsidRPr="00AF5B86" w:rsidRDefault="00AF5B86" w:rsidP="00AF5B86">
            <w:pPr>
              <w:widowControl/>
              <w:jc w:val="left"/>
              <w:rPr>
                <w:rFonts w:ascii="宋体" w:eastAsia="宋体" w:hAnsi="宋体" w:cs="宋体"/>
                <w:color w:val="686868"/>
                <w:kern w:val="0"/>
                <w:sz w:val="18"/>
                <w:szCs w:val="18"/>
              </w:rPr>
            </w:pPr>
            <w:r w:rsidRPr="00AF5B86">
              <w:rPr>
                <w:rFonts w:ascii="宋体" w:eastAsia="宋体" w:hAnsi="宋体" w:cs="宋体"/>
                <w:b/>
                <w:bCs/>
                <w:color w:val="686868"/>
                <w:kern w:val="0"/>
                <w:sz w:val="18"/>
                <w:szCs w:val="18"/>
              </w:rPr>
              <w:t>名　　称:</w:t>
            </w:r>
            <w:r w:rsidRPr="00AF5B86">
              <w:rPr>
                <w:rFonts w:ascii="宋体" w:eastAsia="宋体" w:hAnsi="宋体" w:cs="宋体"/>
                <w:color w:val="686868"/>
                <w:kern w:val="0"/>
                <w:sz w:val="18"/>
                <w:szCs w:val="18"/>
              </w:rPr>
              <w:t> 中国证监会行政处罚决定书（李文捷）</w:t>
            </w:r>
          </w:p>
        </w:tc>
      </w:tr>
      <w:tr w:rsidR="00AF5B86" w:rsidRPr="00AF5B86" w:rsidTr="00AF5B8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F5B86" w:rsidRPr="00AF5B86">
              <w:trPr>
                <w:tblCellSpacing w:w="0" w:type="dxa"/>
              </w:trPr>
              <w:tc>
                <w:tcPr>
                  <w:tcW w:w="2500" w:type="pct"/>
                  <w:tcMar>
                    <w:top w:w="30" w:type="dxa"/>
                    <w:left w:w="30" w:type="dxa"/>
                    <w:bottom w:w="30" w:type="dxa"/>
                    <w:right w:w="30" w:type="dxa"/>
                  </w:tcMar>
                  <w:hideMark/>
                </w:tcPr>
                <w:p w:rsidR="00AF5B86" w:rsidRPr="00AF5B86" w:rsidRDefault="00AF5B86" w:rsidP="00AF5B86">
                  <w:pPr>
                    <w:widowControl/>
                    <w:jc w:val="left"/>
                    <w:rPr>
                      <w:rFonts w:ascii="宋体" w:eastAsia="宋体" w:hAnsi="宋体" w:cs="宋体"/>
                      <w:color w:val="686868"/>
                      <w:kern w:val="0"/>
                      <w:sz w:val="18"/>
                      <w:szCs w:val="18"/>
                    </w:rPr>
                  </w:pPr>
                  <w:r w:rsidRPr="00AF5B86">
                    <w:rPr>
                      <w:rFonts w:ascii="宋体" w:eastAsia="宋体" w:hAnsi="宋体" w:cs="宋体"/>
                      <w:b/>
                      <w:bCs/>
                      <w:color w:val="686868"/>
                      <w:kern w:val="0"/>
                      <w:sz w:val="18"/>
                      <w:szCs w:val="18"/>
                    </w:rPr>
                    <w:t>文　　号:</w:t>
                  </w:r>
                  <w:r w:rsidRPr="00AF5B86">
                    <w:rPr>
                      <w:rFonts w:ascii="宋体" w:eastAsia="宋体" w:hAnsi="宋体" w:cs="宋体"/>
                      <w:color w:val="686868"/>
                      <w:kern w:val="0"/>
                      <w:sz w:val="18"/>
                      <w:szCs w:val="18"/>
                    </w:rPr>
                    <w:t> </w:t>
                  </w:r>
                  <w:bookmarkStart w:id="0" w:name="_GoBack"/>
                  <w:r w:rsidRPr="00AF5B86">
                    <w:rPr>
                      <w:rFonts w:ascii="宋体" w:eastAsia="宋体" w:hAnsi="宋体" w:cs="宋体"/>
                      <w:color w:val="686868"/>
                      <w:kern w:val="0"/>
                      <w:sz w:val="18"/>
                      <w:szCs w:val="18"/>
                    </w:rPr>
                    <w:t>〔2016〕99号</w:t>
                  </w:r>
                  <w:bookmarkEnd w:id="0"/>
                </w:p>
              </w:tc>
              <w:tc>
                <w:tcPr>
                  <w:tcW w:w="0" w:type="auto"/>
                  <w:tcMar>
                    <w:top w:w="30" w:type="dxa"/>
                    <w:left w:w="30" w:type="dxa"/>
                    <w:bottom w:w="30" w:type="dxa"/>
                    <w:right w:w="30" w:type="dxa"/>
                  </w:tcMar>
                  <w:hideMark/>
                </w:tcPr>
                <w:p w:rsidR="00AF5B86" w:rsidRPr="00AF5B86" w:rsidRDefault="00AF5B86" w:rsidP="00AF5B86">
                  <w:pPr>
                    <w:widowControl/>
                    <w:jc w:val="left"/>
                    <w:rPr>
                      <w:rFonts w:ascii="宋体" w:eastAsia="宋体" w:hAnsi="宋体" w:cs="宋体"/>
                      <w:color w:val="686868"/>
                      <w:kern w:val="0"/>
                      <w:sz w:val="18"/>
                      <w:szCs w:val="18"/>
                    </w:rPr>
                  </w:pPr>
                  <w:r w:rsidRPr="00AF5B86">
                    <w:rPr>
                      <w:rFonts w:ascii="宋体" w:eastAsia="宋体" w:hAnsi="宋体" w:cs="宋体"/>
                      <w:b/>
                      <w:bCs/>
                      <w:color w:val="686868"/>
                      <w:kern w:val="0"/>
                      <w:sz w:val="18"/>
                      <w:szCs w:val="18"/>
                    </w:rPr>
                    <w:t>主 题 词:</w:t>
                  </w:r>
                </w:p>
              </w:tc>
            </w:tr>
          </w:tbl>
          <w:p w:rsidR="00AF5B86" w:rsidRPr="00AF5B86" w:rsidRDefault="00AF5B86" w:rsidP="00AF5B86">
            <w:pPr>
              <w:widowControl/>
              <w:jc w:val="left"/>
              <w:rPr>
                <w:rFonts w:ascii="宋体" w:eastAsia="宋体" w:hAnsi="宋体" w:cs="宋体"/>
                <w:color w:val="686868"/>
                <w:kern w:val="0"/>
                <w:sz w:val="18"/>
                <w:szCs w:val="18"/>
              </w:rPr>
            </w:pPr>
          </w:p>
        </w:tc>
      </w:tr>
    </w:tbl>
    <w:p w:rsidR="00AF5B86" w:rsidRPr="00AF5B86" w:rsidRDefault="00AF5B86" w:rsidP="00AF5B86">
      <w:pPr>
        <w:widowControl/>
        <w:jc w:val="center"/>
        <w:rPr>
          <w:rFonts w:ascii="微软雅黑" w:eastAsia="微软雅黑" w:hAnsi="微软雅黑" w:cs="宋体"/>
          <w:color w:val="000000"/>
          <w:kern w:val="0"/>
          <w:sz w:val="18"/>
          <w:szCs w:val="18"/>
        </w:rPr>
      </w:pPr>
      <w:r w:rsidRPr="00AF5B86">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AF5B86" w:rsidRPr="00AF5B86" w:rsidRDefault="00AF5B86" w:rsidP="00AF5B86">
      <w:pPr>
        <w:widowControl/>
        <w:shd w:val="clear" w:color="auto" w:fill="FFFFFF"/>
        <w:spacing w:after="240"/>
        <w:jc w:val="center"/>
        <w:rPr>
          <w:rFonts w:ascii="微软雅黑" w:eastAsia="微软雅黑" w:hAnsi="微软雅黑" w:cs="宋体" w:hint="eastAsia"/>
          <w:color w:val="000000"/>
          <w:kern w:val="0"/>
          <w:sz w:val="18"/>
          <w:szCs w:val="18"/>
        </w:rPr>
      </w:pPr>
      <w:r w:rsidRPr="00AF5B86">
        <w:rPr>
          <w:rFonts w:ascii="微软雅黑" w:eastAsia="微软雅黑" w:hAnsi="微软雅黑" w:cs="宋体" w:hint="eastAsia"/>
          <w:color w:val="000000"/>
          <w:kern w:val="0"/>
          <w:sz w:val="18"/>
          <w:szCs w:val="18"/>
        </w:rPr>
        <w:br/>
      </w:r>
      <w:r w:rsidRPr="00AF5B86">
        <w:rPr>
          <w:rFonts w:ascii="黑体" w:eastAsia="黑体" w:hAnsi="黑体" w:cs="宋体" w:hint="eastAsia"/>
          <w:b/>
          <w:bCs/>
          <w:color w:val="FF0000"/>
          <w:kern w:val="0"/>
          <w:sz w:val="36"/>
          <w:szCs w:val="36"/>
        </w:rPr>
        <w:t>中国证监会行政处罚决定书（李文捷）</w:t>
      </w:r>
    </w:p>
    <w:p w:rsidR="00AF5B86" w:rsidRPr="00AF5B86" w:rsidRDefault="00AF5B86" w:rsidP="00AF5B86">
      <w:pPr>
        <w:widowControl/>
        <w:shd w:val="clear" w:color="auto" w:fill="FFFFFF"/>
        <w:spacing w:line="360" w:lineRule="atLeast"/>
        <w:jc w:val="center"/>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〔2016〕99号</w:t>
      </w:r>
    </w:p>
    <w:p w:rsidR="00AF5B86" w:rsidRPr="00AF5B86" w:rsidRDefault="00AF5B86" w:rsidP="00AF5B86">
      <w:pPr>
        <w:widowControl/>
        <w:shd w:val="clear" w:color="auto" w:fill="FFFFFF"/>
        <w:spacing w:line="360" w:lineRule="atLeast"/>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 </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当事人：李文捷，男，1966年9月出生，住址：湖南省长沙市开福区。</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依据《中华人民共和国证券法》（以下简称《证券法》）的有关规定，我会对李文捷内幕交易湖南博云新材料股份有限公司（以下</w:t>
      </w:r>
      <w:proofErr w:type="gramStart"/>
      <w:r w:rsidRPr="00AF5B86">
        <w:rPr>
          <w:rFonts w:ascii="宋体" w:eastAsia="宋体" w:hAnsi="宋体" w:cs="宋体" w:hint="eastAsia"/>
          <w:color w:val="000000"/>
          <w:kern w:val="0"/>
          <w:szCs w:val="21"/>
        </w:rPr>
        <w:t>简称博云新材</w:t>
      </w:r>
      <w:proofErr w:type="gramEnd"/>
      <w:r w:rsidRPr="00AF5B86">
        <w:rPr>
          <w:rFonts w:ascii="宋体" w:eastAsia="宋体" w:hAnsi="宋体" w:cs="宋体" w:hint="eastAsia"/>
          <w:color w:val="000000"/>
          <w:kern w:val="0"/>
          <w:szCs w:val="21"/>
        </w:rPr>
        <w:t>）股票行为进行了立案调查、审理，并依法向李文捷告知了</w:t>
      </w:r>
      <w:proofErr w:type="gramStart"/>
      <w:r w:rsidRPr="00AF5B86">
        <w:rPr>
          <w:rFonts w:ascii="宋体" w:eastAsia="宋体" w:hAnsi="宋体" w:cs="宋体" w:hint="eastAsia"/>
          <w:color w:val="000000"/>
          <w:kern w:val="0"/>
          <w:szCs w:val="21"/>
        </w:rPr>
        <w:t>作出</w:t>
      </w:r>
      <w:proofErr w:type="gramEnd"/>
      <w:r w:rsidRPr="00AF5B86">
        <w:rPr>
          <w:rFonts w:ascii="宋体" w:eastAsia="宋体" w:hAnsi="宋体" w:cs="宋体" w:hint="eastAsia"/>
          <w:color w:val="000000"/>
          <w:kern w:val="0"/>
          <w:szCs w:val="21"/>
        </w:rPr>
        <w:t>行政处罚的事实、理由、依据及当事人依法享有的权利。当事人要求陈述、申辩和举行听证，我会举行了听证会，听取了其陈述、申辩。本案现已调查、审理终结。</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经查明，李文捷存在以下违法事实：</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一、内幕信息的形成和公开过程</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proofErr w:type="gramStart"/>
      <w:r w:rsidRPr="00AF5B86">
        <w:rPr>
          <w:rFonts w:ascii="宋体" w:eastAsia="宋体" w:hAnsi="宋体" w:cs="宋体" w:hint="eastAsia"/>
          <w:color w:val="000000"/>
          <w:kern w:val="0"/>
          <w:szCs w:val="21"/>
        </w:rPr>
        <w:t>博云新材</w:t>
      </w:r>
      <w:proofErr w:type="gramEnd"/>
      <w:r w:rsidRPr="00AF5B86">
        <w:rPr>
          <w:rFonts w:ascii="宋体" w:eastAsia="宋体" w:hAnsi="宋体" w:cs="宋体" w:hint="eastAsia"/>
          <w:color w:val="000000"/>
          <w:kern w:val="0"/>
          <w:szCs w:val="21"/>
        </w:rPr>
        <w:t>于2009年9月29日在深圳证券交易所中小板上市，持股5%以上的股东是中南大学粉末冶金工程研究中心有限公司、</w:t>
      </w:r>
      <w:proofErr w:type="gramStart"/>
      <w:r w:rsidRPr="00AF5B86">
        <w:rPr>
          <w:rFonts w:ascii="宋体" w:eastAsia="宋体" w:hAnsi="宋体" w:cs="宋体" w:hint="eastAsia"/>
          <w:color w:val="000000"/>
          <w:kern w:val="0"/>
          <w:szCs w:val="21"/>
        </w:rPr>
        <w:t>湖南湘投高科技</w:t>
      </w:r>
      <w:proofErr w:type="gramEnd"/>
      <w:r w:rsidRPr="00AF5B86">
        <w:rPr>
          <w:rFonts w:ascii="宋体" w:eastAsia="宋体" w:hAnsi="宋体" w:cs="宋体" w:hint="eastAsia"/>
          <w:color w:val="000000"/>
          <w:kern w:val="0"/>
          <w:szCs w:val="21"/>
        </w:rPr>
        <w:t>创业投资有限公司（以下简称高创投）和中国航空器材集团公司。</w:t>
      </w:r>
      <w:proofErr w:type="gramStart"/>
      <w:r w:rsidRPr="00AF5B86">
        <w:rPr>
          <w:rFonts w:ascii="宋体" w:eastAsia="宋体" w:hAnsi="宋体" w:cs="宋体" w:hint="eastAsia"/>
          <w:color w:val="000000"/>
          <w:kern w:val="0"/>
          <w:szCs w:val="21"/>
        </w:rPr>
        <w:t>长沙伟徽高科技</w:t>
      </w:r>
      <w:proofErr w:type="gramEnd"/>
      <w:r w:rsidRPr="00AF5B86">
        <w:rPr>
          <w:rFonts w:ascii="宋体" w:eastAsia="宋体" w:hAnsi="宋体" w:cs="宋体" w:hint="eastAsia"/>
          <w:color w:val="000000"/>
          <w:kern w:val="0"/>
          <w:szCs w:val="21"/>
        </w:rPr>
        <w:t>新材料有限公司（以下</w:t>
      </w:r>
      <w:proofErr w:type="gramStart"/>
      <w:r w:rsidRPr="00AF5B86">
        <w:rPr>
          <w:rFonts w:ascii="宋体" w:eastAsia="宋体" w:hAnsi="宋体" w:cs="宋体" w:hint="eastAsia"/>
          <w:color w:val="000000"/>
          <w:kern w:val="0"/>
          <w:szCs w:val="21"/>
        </w:rPr>
        <w:t>简称伟徽新材</w:t>
      </w:r>
      <w:proofErr w:type="gramEnd"/>
      <w:r w:rsidRPr="00AF5B86">
        <w:rPr>
          <w:rFonts w:ascii="宋体" w:eastAsia="宋体" w:hAnsi="宋体" w:cs="宋体" w:hint="eastAsia"/>
          <w:color w:val="000000"/>
          <w:kern w:val="0"/>
          <w:szCs w:val="21"/>
        </w:rPr>
        <w:t>）成立于2010年9月27日，高创投持股5%，是第三大股东。高创投</w:t>
      </w:r>
      <w:proofErr w:type="gramStart"/>
      <w:r w:rsidRPr="00AF5B86">
        <w:rPr>
          <w:rFonts w:ascii="宋体" w:eastAsia="宋体" w:hAnsi="宋体" w:cs="宋体" w:hint="eastAsia"/>
          <w:color w:val="000000"/>
          <w:kern w:val="0"/>
          <w:szCs w:val="21"/>
        </w:rPr>
        <w:t>为博云新材</w:t>
      </w:r>
      <w:proofErr w:type="gramEnd"/>
      <w:r w:rsidRPr="00AF5B86">
        <w:rPr>
          <w:rFonts w:ascii="宋体" w:eastAsia="宋体" w:hAnsi="宋体" w:cs="宋体" w:hint="eastAsia"/>
          <w:color w:val="000000"/>
          <w:kern w:val="0"/>
          <w:szCs w:val="21"/>
        </w:rPr>
        <w:t>和</w:t>
      </w:r>
      <w:proofErr w:type="gramStart"/>
      <w:r w:rsidRPr="00AF5B86">
        <w:rPr>
          <w:rFonts w:ascii="宋体" w:eastAsia="宋体" w:hAnsi="宋体" w:cs="宋体" w:hint="eastAsia"/>
          <w:color w:val="000000"/>
          <w:kern w:val="0"/>
          <w:szCs w:val="21"/>
        </w:rPr>
        <w:t>伟徽</w:t>
      </w:r>
      <w:proofErr w:type="gramEnd"/>
      <w:r w:rsidRPr="00AF5B86">
        <w:rPr>
          <w:rFonts w:ascii="宋体" w:eastAsia="宋体" w:hAnsi="宋体" w:cs="宋体" w:hint="eastAsia"/>
          <w:color w:val="000000"/>
          <w:kern w:val="0"/>
          <w:szCs w:val="21"/>
        </w:rPr>
        <w:t>新材的共同股东，高创投总经理谢某</w:t>
      </w:r>
      <w:proofErr w:type="gramStart"/>
      <w:r w:rsidRPr="00AF5B86">
        <w:rPr>
          <w:rFonts w:ascii="宋体" w:eastAsia="宋体" w:hAnsi="宋体" w:cs="宋体" w:hint="eastAsia"/>
          <w:color w:val="000000"/>
          <w:kern w:val="0"/>
          <w:szCs w:val="21"/>
        </w:rPr>
        <w:t>对博云新材</w:t>
      </w:r>
      <w:proofErr w:type="gramEnd"/>
      <w:r w:rsidRPr="00AF5B86">
        <w:rPr>
          <w:rFonts w:ascii="宋体" w:eastAsia="宋体" w:hAnsi="宋体" w:cs="宋体" w:hint="eastAsia"/>
          <w:color w:val="000000"/>
          <w:kern w:val="0"/>
          <w:szCs w:val="21"/>
        </w:rPr>
        <w:t>和</w:t>
      </w:r>
      <w:proofErr w:type="gramStart"/>
      <w:r w:rsidRPr="00AF5B86">
        <w:rPr>
          <w:rFonts w:ascii="宋体" w:eastAsia="宋体" w:hAnsi="宋体" w:cs="宋体" w:hint="eastAsia"/>
          <w:color w:val="000000"/>
          <w:kern w:val="0"/>
          <w:szCs w:val="21"/>
        </w:rPr>
        <w:t>伟徽</w:t>
      </w:r>
      <w:proofErr w:type="gramEnd"/>
      <w:r w:rsidRPr="00AF5B86">
        <w:rPr>
          <w:rFonts w:ascii="宋体" w:eastAsia="宋体" w:hAnsi="宋体" w:cs="宋体" w:hint="eastAsia"/>
          <w:color w:val="000000"/>
          <w:kern w:val="0"/>
          <w:szCs w:val="21"/>
        </w:rPr>
        <w:t>新材两家公司的情况均比较了解。</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2013年11月，谢某</w:t>
      </w:r>
      <w:proofErr w:type="gramStart"/>
      <w:r w:rsidRPr="00AF5B86">
        <w:rPr>
          <w:rFonts w:ascii="宋体" w:eastAsia="宋体" w:hAnsi="宋体" w:cs="宋体" w:hint="eastAsia"/>
          <w:color w:val="000000"/>
          <w:kern w:val="0"/>
          <w:szCs w:val="21"/>
        </w:rPr>
        <w:t>向伟徽新材</w:t>
      </w:r>
      <w:proofErr w:type="gramEnd"/>
      <w:r w:rsidRPr="00AF5B86">
        <w:rPr>
          <w:rFonts w:ascii="宋体" w:eastAsia="宋体" w:hAnsi="宋体" w:cs="宋体" w:hint="eastAsia"/>
          <w:color w:val="000000"/>
          <w:kern w:val="0"/>
          <w:szCs w:val="21"/>
        </w:rPr>
        <w:t>董事长郭某提出重组建议。后时任中南大学粉末冶金研究院党委书记</w:t>
      </w:r>
      <w:proofErr w:type="gramStart"/>
      <w:r w:rsidRPr="00AF5B86">
        <w:rPr>
          <w:rFonts w:ascii="宋体" w:eastAsia="宋体" w:hAnsi="宋体" w:cs="宋体" w:hint="eastAsia"/>
          <w:color w:val="000000"/>
          <w:kern w:val="0"/>
          <w:szCs w:val="21"/>
        </w:rPr>
        <w:t>兼博云</w:t>
      </w:r>
      <w:proofErr w:type="gramEnd"/>
      <w:r w:rsidRPr="00AF5B86">
        <w:rPr>
          <w:rFonts w:ascii="宋体" w:eastAsia="宋体" w:hAnsi="宋体" w:cs="宋体" w:hint="eastAsia"/>
          <w:color w:val="000000"/>
          <w:kern w:val="0"/>
          <w:szCs w:val="21"/>
        </w:rPr>
        <w:t>新材副董事长刘某胜（2014年2月25日起</w:t>
      </w:r>
      <w:proofErr w:type="gramStart"/>
      <w:r w:rsidRPr="00AF5B86">
        <w:rPr>
          <w:rFonts w:ascii="宋体" w:eastAsia="宋体" w:hAnsi="宋体" w:cs="宋体" w:hint="eastAsia"/>
          <w:color w:val="000000"/>
          <w:kern w:val="0"/>
          <w:szCs w:val="21"/>
        </w:rPr>
        <w:t>任博云</w:t>
      </w:r>
      <w:proofErr w:type="gramEnd"/>
      <w:r w:rsidRPr="00AF5B86">
        <w:rPr>
          <w:rFonts w:ascii="宋体" w:eastAsia="宋体" w:hAnsi="宋体" w:cs="宋体" w:hint="eastAsia"/>
          <w:color w:val="000000"/>
          <w:kern w:val="0"/>
          <w:szCs w:val="21"/>
        </w:rPr>
        <w:t>新材董事长）经谢某介绍</w:t>
      </w:r>
      <w:proofErr w:type="gramStart"/>
      <w:r w:rsidRPr="00AF5B86">
        <w:rPr>
          <w:rFonts w:ascii="宋体" w:eastAsia="宋体" w:hAnsi="宋体" w:cs="宋体" w:hint="eastAsia"/>
          <w:color w:val="000000"/>
          <w:kern w:val="0"/>
          <w:szCs w:val="21"/>
        </w:rPr>
        <w:t>到伟徽新材</w:t>
      </w:r>
      <w:proofErr w:type="gramEnd"/>
      <w:r w:rsidRPr="00AF5B86">
        <w:rPr>
          <w:rFonts w:ascii="宋体" w:eastAsia="宋体" w:hAnsi="宋体" w:cs="宋体" w:hint="eastAsia"/>
          <w:color w:val="000000"/>
          <w:kern w:val="0"/>
          <w:szCs w:val="21"/>
        </w:rPr>
        <w:t>进行考察。</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2013年12月31日，</w:t>
      </w:r>
      <w:proofErr w:type="gramStart"/>
      <w:r w:rsidRPr="00AF5B86">
        <w:rPr>
          <w:rFonts w:ascii="宋体" w:eastAsia="宋体" w:hAnsi="宋体" w:cs="宋体" w:hint="eastAsia"/>
          <w:color w:val="000000"/>
          <w:kern w:val="0"/>
          <w:szCs w:val="21"/>
        </w:rPr>
        <w:t>博云新材</w:t>
      </w:r>
      <w:proofErr w:type="gramEnd"/>
      <w:r w:rsidRPr="00AF5B86">
        <w:rPr>
          <w:rFonts w:ascii="宋体" w:eastAsia="宋体" w:hAnsi="宋体" w:cs="宋体" w:hint="eastAsia"/>
          <w:color w:val="000000"/>
          <w:kern w:val="0"/>
          <w:szCs w:val="21"/>
        </w:rPr>
        <w:t>和</w:t>
      </w:r>
      <w:proofErr w:type="gramStart"/>
      <w:r w:rsidRPr="00AF5B86">
        <w:rPr>
          <w:rFonts w:ascii="宋体" w:eastAsia="宋体" w:hAnsi="宋体" w:cs="宋体" w:hint="eastAsia"/>
          <w:color w:val="000000"/>
          <w:kern w:val="0"/>
          <w:szCs w:val="21"/>
        </w:rPr>
        <w:t>伟徽</w:t>
      </w:r>
      <w:proofErr w:type="gramEnd"/>
      <w:r w:rsidRPr="00AF5B86">
        <w:rPr>
          <w:rFonts w:ascii="宋体" w:eastAsia="宋体" w:hAnsi="宋体" w:cs="宋体" w:hint="eastAsia"/>
          <w:color w:val="000000"/>
          <w:kern w:val="0"/>
          <w:szCs w:val="21"/>
        </w:rPr>
        <w:t>新材的相关人员进行了正式会谈，</w:t>
      </w:r>
      <w:proofErr w:type="gramStart"/>
      <w:r w:rsidRPr="00AF5B86">
        <w:rPr>
          <w:rFonts w:ascii="宋体" w:eastAsia="宋体" w:hAnsi="宋体" w:cs="宋体" w:hint="eastAsia"/>
          <w:color w:val="000000"/>
          <w:kern w:val="0"/>
          <w:szCs w:val="21"/>
        </w:rPr>
        <w:t>就博云</w:t>
      </w:r>
      <w:proofErr w:type="gramEnd"/>
      <w:r w:rsidRPr="00AF5B86">
        <w:rPr>
          <w:rFonts w:ascii="宋体" w:eastAsia="宋体" w:hAnsi="宋体" w:cs="宋体" w:hint="eastAsia"/>
          <w:color w:val="000000"/>
          <w:kern w:val="0"/>
          <w:szCs w:val="21"/>
        </w:rPr>
        <w:t>新材整体</w:t>
      </w:r>
      <w:proofErr w:type="gramStart"/>
      <w:r w:rsidRPr="00AF5B86">
        <w:rPr>
          <w:rFonts w:ascii="宋体" w:eastAsia="宋体" w:hAnsi="宋体" w:cs="宋体" w:hint="eastAsia"/>
          <w:color w:val="000000"/>
          <w:kern w:val="0"/>
          <w:szCs w:val="21"/>
        </w:rPr>
        <w:t>收购伟徽新材</w:t>
      </w:r>
      <w:proofErr w:type="gramEnd"/>
      <w:r w:rsidRPr="00AF5B86">
        <w:rPr>
          <w:rFonts w:ascii="宋体" w:eastAsia="宋体" w:hAnsi="宋体" w:cs="宋体" w:hint="eastAsia"/>
          <w:color w:val="000000"/>
          <w:kern w:val="0"/>
          <w:szCs w:val="21"/>
        </w:rPr>
        <w:t>进行讨论，双方均表达了合作意向。谢某参加了此次会谈。</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2014年2月11日，在谢某的联络协调下，各方再次会谈讨论并购方案的设计。</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2014年2月13日，双方就并购方案的细节再次进行了会谈。谢某虽然没有参与具体谈判，但作为协调人和双方共同股东的总经理，双方都会向谢某通报谈判的进展情况，遇到分歧也会找谢某帮忙协调解决。</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2014年5月15日，双方就收购的框架协议内容基本达成一致。</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2014年5月16日，</w:t>
      </w:r>
      <w:proofErr w:type="gramStart"/>
      <w:r w:rsidRPr="00AF5B86">
        <w:rPr>
          <w:rFonts w:ascii="宋体" w:eastAsia="宋体" w:hAnsi="宋体" w:cs="宋体" w:hint="eastAsia"/>
          <w:color w:val="000000"/>
          <w:kern w:val="0"/>
          <w:szCs w:val="21"/>
        </w:rPr>
        <w:t>博云新材</w:t>
      </w:r>
      <w:proofErr w:type="gramEnd"/>
      <w:r w:rsidRPr="00AF5B86">
        <w:rPr>
          <w:rFonts w:ascii="宋体" w:eastAsia="宋体" w:hAnsi="宋体" w:cs="宋体" w:hint="eastAsia"/>
          <w:color w:val="000000"/>
          <w:kern w:val="0"/>
          <w:szCs w:val="21"/>
        </w:rPr>
        <w:t>在晚间公告了《重大事项停牌公告》。</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lastRenderedPageBreak/>
        <w:t>2014年5月24日，</w:t>
      </w:r>
      <w:proofErr w:type="gramStart"/>
      <w:r w:rsidRPr="00AF5B86">
        <w:rPr>
          <w:rFonts w:ascii="宋体" w:eastAsia="宋体" w:hAnsi="宋体" w:cs="宋体" w:hint="eastAsia"/>
          <w:color w:val="000000"/>
          <w:kern w:val="0"/>
          <w:szCs w:val="21"/>
        </w:rPr>
        <w:t>博云新材</w:t>
      </w:r>
      <w:proofErr w:type="gramEnd"/>
      <w:r w:rsidRPr="00AF5B86">
        <w:rPr>
          <w:rFonts w:ascii="宋体" w:eastAsia="宋体" w:hAnsi="宋体" w:cs="宋体" w:hint="eastAsia"/>
          <w:color w:val="000000"/>
          <w:kern w:val="0"/>
          <w:szCs w:val="21"/>
        </w:rPr>
        <w:t>公告了《非公开发行股票预案》，预案披露公司将非公开发行股票，募集资金</w:t>
      </w:r>
      <w:proofErr w:type="gramStart"/>
      <w:r w:rsidRPr="00AF5B86">
        <w:rPr>
          <w:rFonts w:ascii="宋体" w:eastAsia="宋体" w:hAnsi="宋体" w:cs="宋体" w:hint="eastAsia"/>
          <w:color w:val="000000"/>
          <w:kern w:val="0"/>
          <w:szCs w:val="21"/>
        </w:rPr>
        <w:t>收购伟徽新材</w:t>
      </w:r>
      <w:proofErr w:type="gramEnd"/>
      <w:r w:rsidRPr="00AF5B86">
        <w:rPr>
          <w:rFonts w:ascii="宋体" w:eastAsia="宋体" w:hAnsi="宋体" w:cs="宋体" w:hint="eastAsia"/>
          <w:color w:val="000000"/>
          <w:kern w:val="0"/>
          <w:szCs w:val="21"/>
        </w:rPr>
        <w:t>。公司股票于2014年5月26日复牌。</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根据《证券法》第六十七条第二款第（二）项“公司的重大投资行为和重大的购置财产的决定”和第七十五条第二款第（一）项“本法第六十七条第二款所列重大事件”的规定，</w:t>
      </w:r>
      <w:proofErr w:type="gramStart"/>
      <w:r w:rsidRPr="00AF5B86">
        <w:rPr>
          <w:rFonts w:ascii="宋体" w:eastAsia="宋体" w:hAnsi="宋体" w:cs="宋体" w:hint="eastAsia"/>
          <w:color w:val="000000"/>
          <w:kern w:val="0"/>
          <w:szCs w:val="21"/>
        </w:rPr>
        <w:t>博云新材</w:t>
      </w:r>
      <w:proofErr w:type="gramEnd"/>
      <w:r w:rsidRPr="00AF5B86">
        <w:rPr>
          <w:rFonts w:ascii="宋体" w:eastAsia="宋体" w:hAnsi="宋体" w:cs="宋体" w:hint="eastAsia"/>
          <w:color w:val="000000"/>
          <w:kern w:val="0"/>
          <w:szCs w:val="21"/>
        </w:rPr>
        <w:t>于2014年5月24日发布《2014年度非公开发行股票预案》《复牌公告》《独立董事对非公开发行股票及关联交易的事前认可意见》和《独立董事对2014年度非公开发行股票相关议案的独立意见》等公告，拟通过非公开发行股票</w:t>
      </w:r>
      <w:proofErr w:type="gramStart"/>
      <w:r w:rsidRPr="00AF5B86">
        <w:rPr>
          <w:rFonts w:ascii="宋体" w:eastAsia="宋体" w:hAnsi="宋体" w:cs="宋体" w:hint="eastAsia"/>
          <w:color w:val="000000"/>
          <w:kern w:val="0"/>
          <w:szCs w:val="21"/>
        </w:rPr>
        <w:t>收购伟徽新材</w:t>
      </w:r>
      <w:proofErr w:type="gramEnd"/>
      <w:r w:rsidRPr="00AF5B86">
        <w:rPr>
          <w:rFonts w:ascii="宋体" w:eastAsia="宋体" w:hAnsi="宋体" w:cs="宋体" w:hint="eastAsia"/>
          <w:color w:val="000000"/>
          <w:kern w:val="0"/>
          <w:szCs w:val="21"/>
        </w:rPr>
        <w:t>100%股权的信息属于法定内幕信息。内幕信息形成于2013年12月31日，公开于2014年5月24日。</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二、李文捷知悉内幕信息及交易“博云新材”情况</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谢某</w:t>
      </w:r>
      <w:proofErr w:type="gramStart"/>
      <w:r w:rsidRPr="00AF5B86">
        <w:rPr>
          <w:rFonts w:ascii="宋体" w:eastAsia="宋体" w:hAnsi="宋体" w:cs="宋体" w:hint="eastAsia"/>
          <w:color w:val="000000"/>
          <w:kern w:val="0"/>
          <w:szCs w:val="21"/>
        </w:rPr>
        <w:t>为博云新材</w:t>
      </w:r>
      <w:proofErr w:type="gramEnd"/>
      <w:r w:rsidRPr="00AF5B86">
        <w:rPr>
          <w:rFonts w:ascii="宋体" w:eastAsia="宋体" w:hAnsi="宋体" w:cs="宋体" w:hint="eastAsia"/>
          <w:color w:val="000000"/>
          <w:kern w:val="0"/>
          <w:szCs w:val="21"/>
        </w:rPr>
        <w:t>和</w:t>
      </w:r>
      <w:proofErr w:type="gramStart"/>
      <w:r w:rsidRPr="00AF5B86">
        <w:rPr>
          <w:rFonts w:ascii="宋体" w:eastAsia="宋体" w:hAnsi="宋体" w:cs="宋体" w:hint="eastAsia"/>
          <w:color w:val="000000"/>
          <w:kern w:val="0"/>
          <w:szCs w:val="21"/>
        </w:rPr>
        <w:t>伟徽</w:t>
      </w:r>
      <w:proofErr w:type="gramEnd"/>
      <w:r w:rsidRPr="00AF5B86">
        <w:rPr>
          <w:rFonts w:ascii="宋体" w:eastAsia="宋体" w:hAnsi="宋体" w:cs="宋体" w:hint="eastAsia"/>
          <w:color w:val="000000"/>
          <w:kern w:val="0"/>
          <w:szCs w:val="21"/>
        </w:rPr>
        <w:t>新材的共同股东高创投的总经理，根据《证券法》第七十四条第（二）项的规定，谢某属于“持有公司百分之五以上股份的股东及其董事、监事、高级管理人员”，为法定内幕信息知情人。</w:t>
      </w:r>
      <w:proofErr w:type="gramStart"/>
      <w:r w:rsidRPr="00AF5B86">
        <w:rPr>
          <w:rFonts w:ascii="宋体" w:eastAsia="宋体" w:hAnsi="宋体" w:cs="宋体" w:hint="eastAsia"/>
          <w:color w:val="000000"/>
          <w:kern w:val="0"/>
          <w:szCs w:val="21"/>
        </w:rPr>
        <w:t>在博云新材收购伟徽新材</w:t>
      </w:r>
      <w:proofErr w:type="gramEnd"/>
      <w:r w:rsidRPr="00AF5B86">
        <w:rPr>
          <w:rFonts w:ascii="宋体" w:eastAsia="宋体" w:hAnsi="宋体" w:cs="宋体" w:hint="eastAsia"/>
          <w:color w:val="000000"/>
          <w:kern w:val="0"/>
          <w:szCs w:val="21"/>
        </w:rPr>
        <w:t>的过程中，谢某作为中间协调人和股东的代表参与了此次收购事项的组织协调，虽未参与具体细节谈判，但作为协调人和双方共同股东的总经理，双方都会向谢某通报谈判的进展情况，遇到分歧也会找谢某帮忙协调解决。</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李文捷为东方证券长沙市劳动西路营业部（以下简称东方营业部）总经理，因东方证券与高创投有业务合作，李文捷与谢某认识多年。李文捷与谢某在2013年12月31日至2014年5月24日期间有较频繁的联系，在此期间李文捷使用“陈某祥”和“顾某蕙”两个证券账户交易“博云新材”，具体情况如下：</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（一）关于“陈某祥”账户</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1. “陈某祥”账户的基本情况</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陈某祥”账户于2001年3月26日开立于湖南证券有限公司，2002年11月29日由湖南证券湘潭营业部转户至东方营业部。该账户由李文捷前妻李某红的妹妹李某频开户（陈某祥为李某频的朋友），后交李文捷管理操作，由李文捷实际控制。</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该证券账户对应的银行三方存管账户申请预留电话为李文捷本人手机号码，2013年4月23日至2014年5月5日期间共转入170.63万元，主要来自李文捷本人银行账户。</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2. “陈某祥”账户交易“博云新材”的情况</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2014年1月4日李文捷与谢某通讯联系，1月6日（首个交易日）买入66,400股。</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1月7日、8日李文捷与谢某通讯联系，1月9日买入4,800股。</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1月17日李文捷与谢某通讯联系，当日买入2,300股，1月20日（18、19日为周末）买入27,200股，1月28日卖出18,850股，1月30日买入8,300股。</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2月10日李文捷与谢某通讯联系，买入10,000股。</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2月13日李文捷与谢某通讯联系，当日买入135,000股，2月14日买入46,000股，2月18日、20日持续买入40,000股，2月26日卖出21,150股。</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3月3日李文捷与谢某通讯联系，卖出300,000股。</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4月11日李文捷与谢某通讯联系，当日买入2,100股，4月14日买入300,584股，4月15日买入35,800股。</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lastRenderedPageBreak/>
        <w:t>4月16日李文捷与谢某通讯联系，当日买入62,500股。</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4月17日李文捷与谢某通讯联系，买入7,400股。</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4月18日李文捷与谢某通讯联系，当日买入127,600股，4月21日、24日、25日、28日、29日持续买入43,100股。</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5月16日卖出9,084股。</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经查，“陈某祥”账户于2013年12月31日至2014年5月24日期间，共买入“博云新材”919,084股，买入金额9,020,820.13元；卖出349,084股，卖出金额3,842,044.15元。截至2014年10月14日，该账户卖出上述期间买入的全部“博云新材”，实际获利1,363,059.24元。</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（二）关于“顾某蕙”账户</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1. “顾某蕙”账户的基本情况</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“顾某蕙”账户于2007年1月8日在东方营业部开户。该账户由顾某蕙委托李文捷管理操作（顾某蕙的丈夫俞某明与李文捷系同学关系）。</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该证券账户对应的银行三方存管账户于2013年10月15日、10月17日、10月18日、10月21日共转入330万元，均来自顾某蕙本人银行账户。</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2. “顾某蕙”账户交易“博云新材”的情况</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2014年2月13日李文捷与谢某通讯联系，2月14日买入313,800股；2月24日卖出50,000股。</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3月3日李文捷与谢某通讯联系，卖出263,800股。</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4月11日李文捷与谢某通讯联系，4月14日买入104,500股；4月15日买入121,800股。</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经查，“顾某蕙”账户于2013年12月31日至2014年5月24日期间，买入“博云新材”540,100股，买入金额5,374,635.34元；卖出313,800股，卖出金额3,417,218.4元。截至2014年10月14日，该账户卖出上述期间买入的全部“博云新材”，实际获利808,299.31元。</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上述违法事实，有相关公告、相关人员询问笔录、相关人员通讯记录、涉案账户开户资料、交易流水、资金划转记录等证据证明，足以认定。</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李文捷的上述行为违反了《证券法》第七十三条、第七十六条第一款的规定，构成《证券法》第二百零二条所述内幕交易行为。</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当事人及其代理人在听证会上提出以下陈述申辩意见：第一，谢某并未参加2014年2月11日及以后的会谈，且内幕信息的形成时间应为2014年2月13日；第二，李文捷与谢某的电话通讯和往来不涉及任何内幕信息；第三，“陈某祥”账户的实际所有人为其前妻李某红及前妻的妹妹李某频，账户内资金与李文捷无关，该账户由李某红、李某频委托李文捷管理操作；第四，“陈某祥”账户的交易</w:t>
      </w:r>
      <w:proofErr w:type="gramStart"/>
      <w:r w:rsidRPr="00AF5B86">
        <w:rPr>
          <w:rFonts w:ascii="宋体" w:eastAsia="宋体" w:hAnsi="宋体" w:cs="宋体" w:hint="eastAsia"/>
          <w:color w:val="000000"/>
          <w:kern w:val="0"/>
          <w:szCs w:val="21"/>
        </w:rPr>
        <w:t>不</w:t>
      </w:r>
      <w:proofErr w:type="gramEnd"/>
      <w:r w:rsidRPr="00AF5B86">
        <w:rPr>
          <w:rFonts w:ascii="宋体" w:eastAsia="宋体" w:hAnsi="宋体" w:cs="宋体" w:hint="eastAsia"/>
          <w:color w:val="000000"/>
          <w:kern w:val="0"/>
          <w:szCs w:val="21"/>
        </w:rPr>
        <w:t>涉内幕信息，均属正常交易；第五，李文捷未接受俞某明、顾某蕙夫妇委托管理“顾某蕙”账户，该账户决策人、实际受益人都是俞某明，操作是俞某明向东方营业部员工江某下的指令，俞某明亦作证确认这一说法；第六，李文捷存在私下接受客户委托买卖证券的违规行为，但不存在内幕交易，请求我会对其免除处罚。</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lastRenderedPageBreak/>
        <w:t>经复核，我会认为当事人的陈述申辩不能成立，理由如下：第一，</w:t>
      </w:r>
      <w:proofErr w:type="gramStart"/>
      <w:r w:rsidRPr="00AF5B86">
        <w:rPr>
          <w:rFonts w:ascii="宋体" w:eastAsia="宋体" w:hAnsi="宋体" w:cs="宋体" w:hint="eastAsia"/>
          <w:color w:val="000000"/>
          <w:kern w:val="0"/>
          <w:szCs w:val="21"/>
        </w:rPr>
        <w:t>博云新材与伟徽新材</w:t>
      </w:r>
      <w:proofErr w:type="gramEnd"/>
      <w:r w:rsidRPr="00AF5B86">
        <w:rPr>
          <w:rFonts w:ascii="宋体" w:eastAsia="宋体" w:hAnsi="宋体" w:cs="宋体" w:hint="eastAsia"/>
          <w:color w:val="000000"/>
          <w:kern w:val="0"/>
          <w:szCs w:val="21"/>
        </w:rPr>
        <w:t>双方实际控制人及</w:t>
      </w:r>
      <w:proofErr w:type="gramStart"/>
      <w:r w:rsidRPr="00AF5B86">
        <w:rPr>
          <w:rFonts w:ascii="宋体" w:eastAsia="宋体" w:hAnsi="宋体" w:cs="宋体" w:hint="eastAsia"/>
          <w:color w:val="000000"/>
          <w:kern w:val="0"/>
          <w:szCs w:val="21"/>
        </w:rPr>
        <w:t>管理层于2013年12月31日</w:t>
      </w:r>
      <w:proofErr w:type="gramEnd"/>
      <w:r w:rsidRPr="00AF5B86">
        <w:rPr>
          <w:rFonts w:ascii="宋体" w:eastAsia="宋体" w:hAnsi="宋体" w:cs="宋体" w:hint="eastAsia"/>
          <w:color w:val="000000"/>
          <w:kern w:val="0"/>
          <w:szCs w:val="21"/>
        </w:rPr>
        <w:t>正式会谈，会谈中双方已在了解合作条件、方式，故该时点应为内幕信息形成时间。第二，我会对谢某知悉内幕信息的认定基于多份证据，其中包括谢某的职务及法定知情人身份、2013年12月31日的会议记录、谢某本人调查询问笔录及相关人员的调查询问笔录、内幕信息敏感期内谢某与相关人员的通讯记录等，上述证据能够相互印证，足以证明。第三，关于“陈某祥”账户，李文捷在调查询问笔录中承认其接受李某红与李某频委托授权管理操作“陈某祥”账户，在书面申辩意见中及听证会上详细讲述了该账户交易“博云新材”的决策因素、交易细节，且该账户大部分资金来源于李文捷本人银行账户，并曾用李文捷本人手机下单。第四，关于“顾某蕙”账户，李文捷在调查询问笔录中自认接受顾某蕙委托对该账户进行管理操作；顾某蕙、俞某明在听证会上的证词与顾某蕙调查询问笔录、李文捷及其代理人提交的顾某蕙和俞某明的律师询问笔录前后矛盾；俞某明关于委托江某下单的说法与江某在调查询问笔录中陈述其不清楚“顾某蕙”账户情况的说法相互矛盾；俞某明对该账户的投资理念、交易习惯以及如何决策交易“博云新材”的过程讲不清楚；该账户交易股票品种、交易时间点、下单地址与“陈某祥”账户高度一致，而交易频率不如“陈某祥”账户高，该交易状况与李文捷最初自认接受顾某蕙委托管理操作该账户的说法相吻合。第五，李文捷申辩其交易“博云新材”的理由不能合理解释其在内幕信息敏感期内使用“陈某祥”和“顾某蕙”账户交易“博云新材”与其与内幕信息知情人谢某的联络以及内幕信息发展情况高度吻合、两人通讯联系后买入“博云新材”金额明显放大、亏损卖出其他股票买入“博云新材”、集中交易“博云新材”且</w:t>
      </w:r>
      <w:proofErr w:type="gramStart"/>
      <w:r w:rsidRPr="00AF5B86">
        <w:rPr>
          <w:rFonts w:ascii="宋体" w:eastAsia="宋体" w:hAnsi="宋体" w:cs="宋体" w:hint="eastAsia"/>
          <w:color w:val="000000"/>
          <w:kern w:val="0"/>
          <w:szCs w:val="21"/>
        </w:rPr>
        <w:t>停牌日持股</w:t>
      </w:r>
      <w:proofErr w:type="gramEnd"/>
      <w:r w:rsidRPr="00AF5B86">
        <w:rPr>
          <w:rFonts w:ascii="宋体" w:eastAsia="宋体" w:hAnsi="宋体" w:cs="宋体" w:hint="eastAsia"/>
          <w:color w:val="000000"/>
          <w:kern w:val="0"/>
          <w:szCs w:val="21"/>
        </w:rPr>
        <w:t>单一等明显异常情形。综上，我会对李文捷相关陈述申辩意见不予采纳。</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根据当事人违法行为的事实、性质、情节与社会危害程度，依据《证券法》第二百零二条的规定，我会决定：对李文捷没收违法所得2,171,358.55元，并处罚款6,514,075.65元。</w:t>
      </w:r>
    </w:p>
    <w:p w:rsidR="00AF5B86" w:rsidRPr="00AF5B86" w:rsidRDefault="00AF5B86" w:rsidP="00AF5B8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AF5B86" w:rsidRPr="00AF5B86" w:rsidRDefault="00AF5B86" w:rsidP="00AF5B86">
      <w:pPr>
        <w:widowControl/>
        <w:shd w:val="clear" w:color="auto" w:fill="FFFFFF"/>
        <w:spacing w:line="360" w:lineRule="atLeast"/>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 </w:t>
      </w:r>
    </w:p>
    <w:p w:rsidR="00AF5B86" w:rsidRPr="00AF5B86" w:rsidRDefault="00AF5B86" w:rsidP="00AF5B86">
      <w:pPr>
        <w:widowControl/>
        <w:shd w:val="clear" w:color="auto" w:fill="FFFFFF"/>
        <w:spacing w:line="360" w:lineRule="atLeast"/>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 </w:t>
      </w:r>
    </w:p>
    <w:p w:rsidR="00AF5B86" w:rsidRPr="00AF5B86" w:rsidRDefault="00AF5B86" w:rsidP="00AF5B86">
      <w:pPr>
        <w:widowControl/>
        <w:shd w:val="clear" w:color="auto" w:fill="FFFFFF"/>
        <w:spacing w:line="360" w:lineRule="atLeast"/>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 </w:t>
      </w:r>
    </w:p>
    <w:p w:rsidR="00AF5B86" w:rsidRPr="00AF5B86" w:rsidRDefault="00AF5B86" w:rsidP="00AF5B86">
      <w:pPr>
        <w:widowControl/>
        <w:shd w:val="clear" w:color="auto" w:fill="FFFFFF"/>
        <w:spacing w:line="360" w:lineRule="atLeast"/>
        <w:jc w:val="lef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 </w:t>
      </w:r>
    </w:p>
    <w:p w:rsidR="00AF5B86" w:rsidRPr="00AF5B86" w:rsidRDefault="00AF5B86" w:rsidP="00AF5B8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中国证监会</w:t>
      </w:r>
      <w:proofErr w:type="gramStart"/>
      <w:r w:rsidRPr="00AF5B86">
        <w:rPr>
          <w:rFonts w:ascii="宋体" w:eastAsia="宋体" w:hAnsi="宋体" w:cs="宋体" w:hint="eastAsia"/>
          <w:color w:val="000000"/>
          <w:kern w:val="0"/>
          <w:szCs w:val="21"/>
        </w:rPr>
        <w:t xml:space="preserve">　　　　　</w:t>
      </w:r>
      <w:proofErr w:type="gramEnd"/>
      <w:r w:rsidRPr="00AF5B86">
        <w:rPr>
          <w:rFonts w:ascii="宋体" w:eastAsia="宋体" w:hAnsi="宋体" w:cs="宋体" w:hint="eastAsia"/>
          <w:color w:val="000000"/>
          <w:kern w:val="0"/>
          <w:szCs w:val="21"/>
        </w:rPr>
        <w:t> </w:t>
      </w:r>
    </w:p>
    <w:p w:rsidR="00AF5B86" w:rsidRPr="00AF5B86" w:rsidRDefault="00AF5B86" w:rsidP="00AF5B8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F5B86">
        <w:rPr>
          <w:rFonts w:ascii="宋体" w:eastAsia="宋体" w:hAnsi="宋体" w:cs="宋体" w:hint="eastAsia"/>
          <w:color w:val="000000"/>
          <w:kern w:val="0"/>
          <w:szCs w:val="21"/>
        </w:rPr>
        <w:t xml:space="preserve">2016年8月16日　　</w:t>
      </w:r>
      <w:proofErr w:type="gramStart"/>
      <w:r w:rsidRPr="00AF5B86">
        <w:rPr>
          <w:rFonts w:ascii="宋体" w:eastAsia="宋体" w:hAnsi="宋体" w:cs="宋体" w:hint="eastAsia"/>
          <w:color w:val="000000"/>
          <w:kern w:val="0"/>
          <w:szCs w:val="21"/>
        </w:rPr>
        <w:t xml:space="preserve">　　</w:t>
      </w:r>
      <w:proofErr w:type="gramEnd"/>
    </w:p>
    <w:p w:rsidR="00AF5B86" w:rsidRPr="00AF5B86" w:rsidRDefault="00AF5B86" w:rsidP="00AF5B86">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AF5B86" w:rsidRPr="00AF5B86" w:rsidTr="00AF5B86">
        <w:trPr>
          <w:tblCellSpacing w:w="15" w:type="dxa"/>
          <w:jc w:val="center"/>
        </w:trPr>
        <w:tc>
          <w:tcPr>
            <w:tcW w:w="900" w:type="dxa"/>
            <w:vAlign w:val="center"/>
            <w:hideMark/>
          </w:tcPr>
          <w:p w:rsidR="00AF5B86" w:rsidRPr="00AF5B86" w:rsidRDefault="00AF5B86" w:rsidP="00AF5B86">
            <w:pPr>
              <w:widowControl/>
              <w:jc w:val="left"/>
              <w:rPr>
                <w:rFonts w:ascii="宋体" w:eastAsia="宋体" w:hAnsi="宋体" w:cs="宋体" w:hint="eastAsia"/>
                <w:kern w:val="0"/>
                <w:sz w:val="18"/>
                <w:szCs w:val="18"/>
              </w:rPr>
            </w:pPr>
            <w:r w:rsidRPr="00AF5B86">
              <w:rPr>
                <w:rFonts w:ascii="宋体" w:eastAsia="宋体" w:hAnsi="宋体" w:cs="宋体"/>
                <w:kern w:val="0"/>
                <w:sz w:val="18"/>
                <w:szCs w:val="18"/>
              </w:rPr>
              <w:t> </w:t>
            </w:r>
          </w:p>
        </w:tc>
        <w:tc>
          <w:tcPr>
            <w:tcW w:w="1200" w:type="dxa"/>
            <w:vAlign w:val="center"/>
            <w:hideMark/>
          </w:tcPr>
          <w:p w:rsidR="00AF5B86" w:rsidRPr="00AF5B86" w:rsidRDefault="00AF5B86" w:rsidP="00AF5B86">
            <w:pPr>
              <w:widowControl/>
              <w:jc w:val="left"/>
              <w:rPr>
                <w:rFonts w:ascii="宋体" w:eastAsia="宋体" w:hAnsi="宋体" w:cs="宋体"/>
                <w:kern w:val="0"/>
                <w:sz w:val="18"/>
                <w:szCs w:val="18"/>
              </w:rPr>
            </w:pPr>
            <w:r w:rsidRPr="00AF5B86">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F5B86" w:rsidRPr="00AF5B86" w:rsidRDefault="00AF5B86" w:rsidP="00AF5B86">
            <w:pPr>
              <w:widowControl/>
              <w:jc w:val="left"/>
              <w:rPr>
                <w:rFonts w:ascii="宋体" w:eastAsia="宋体" w:hAnsi="宋体" w:cs="宋体"/>
                <w:kern w:val="0"/>
                <w:sz w:val="18"/>
                <w:szCs w:val="18"/>
              </w:rPr>
            </w:pPr>
            <w:r w:rsidRPr="00AF5B86">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F5B86" w:rsidRPr="00AF5B86" w:rsidRDefault="00AF5B86" w:rsidP="00AF5B86">
            <w:pPr>
              <w:widowControl/>
              <w:jc w:val="left"/>
              <w:rPr>
                <w:rFonts w:ascii="宋体" w:eastAsia="宋体" w:hAnsi="宋体" w:cs="宋体"/>
                <w:kern w:val="0"/>
                <w:sz w:val="18"/>
                <w:szCs w:val="18"/>
              </w:rPr>
            </w:pPr>
            <w:r w:rsidRPr="00AF5B86">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AF5B86" w:rsidRPr="00AF5B86" w:rsidRDefault="00AF5B86" w:rsidP="00AF5B86">
      <w:pPr>
        <w:widowControl/>
        <w:jc w:val="center"/>
        <w:rPr>
          <w:rFonts w:ascii="微软雅黑" w:eastAsia="微软雅黑" w:hAnsi="微软雅黑" w:cs="宋体"/>
          <w:color w:val="515151"/>
          <w:kern w:val="0"/>
          <w:sz w:val="18"/>
          <w:szCs w:val="18"/>
        </w:rPr>
      </w:pPr>
      <w:hyperlink r:id="rId11" w:tgtFrame="_blank" w:history="1">
        <w:r w:rsidRPr="00AF5B86">
          <w:rPr>
            <w:rFonts w:ascii="微软雅黑" w:eastAsia="微软雅黑" w:hAnsi="微软雅黑" w:cs="宋体" w:hint="eastAsia"/>
            <w:color w:val="0000FF"/>
            <w:kern w:val="0"/>
            <w:sz w:val="18"/>
            <w:szCs w:val="18"/>
            <w:u w:val="single"/>
          </w:rPr>
          <w:t>关于我们</w:t>
        </w:r>
      </w:hyperlink>
      <w:r w:rsidRPr="00AF5B86">
        <w:rPr>
          <w:rFonts w:ascii="微软雅黑" w:eastAsia="微软雅黑" w:hAnsi="微软雅黑" w:cs="宋体" w:hint="eastAsia"/>
          <w:color w:val="515151"/>
          <w:kern w:val="0"/>
          <w:sz w:val="18"/>
          <w:szCs w:val="18"/>
        </w:rPr>
        <w:t> - </w:t>
      </w:r>
      <w:hyperlink r:id="rId12" w:tgtFrame="_blank" w:history="1">
        <w:r w:rsidRPr="00AF5B86">
          <w:rPr>
            <w:rFonts w:ascii="微软雅黑" w:eastAsia="微软雅黑" w:hAnsi="微软雅黑" w:cs="宋体" w:hint="eastAsia"/>
            <w:color w:val="0000FF"/>
            <w:kern w:val="0"/>
            <w:sz w:val="18"/>
            <w:szCs w:val="18"/>
            <w:u w:val="single"/>
          </w:rPr>
          <w:t>法律声明</w:t>
        </w:r>
      </w:hyperlink>
      <w:r w:rsidRPr="00AF5B86">
        <w:rPr>
          <w:rFonts w:ascii="微软雅黑" w:eastAsia="微软雅黑" w:hAnsi="微软雅黑" w:cs="宋体" w:hint="eastAsia"/>
          <w:color w:val="515151"/>
          <w:kern w:val="0"/>
          <w:sz w:val="18"/>
          <w:szCs w:val="18"/>
        </w:rPr>
        <w:t> - </w:t>
      </w:r>
      <w:hyperlink r:id="rId13" w:tgtFrame="_blank" w:history="1">
        <w:r w:rsidRPr="00AF5B86">
          <w:rPr>
            <w:rFonts w:ascii="微软雅黑" w:eastAsia="微软雅黑" w:hAnsi="微软雅黑" w:cs="宋体" w:hint="eastAsia"/>
            <w:color w:val="0000FF"/>
            <w:kern w:val="0"/>
            <w:sz w:val="18"/>
            <w:szCs w:val="18"/>
            <w:u w:val="single"/>
          </w:rPr>
          <w:t>联系我们</w:t>
        </w:r>
      </w:hyperlink>
    </w:p>
    <w:p w:rsidR="00AF5B86" w:rsidRPr="00AF5B86" w:rsidRDefault="00AF5B86" w:rsidP="00AF5B86">
      <w:pPr>
        <w:widowControl/>
        <w:jc w:val="center"/>
        <w:rPr>
          <w:rFonts w:ascii="微软雅黑" w:eastAsia="微软雅黑" w:hAnsi="微软雅黑" w:cs="宋体" w:hint="eastAsia"/>
          <w:color w:val="515151"/>
          <w:kern w:val="0"/>
          <w:sz w:val="18"/>
          <w:szCs w:val="18"/>
        </w:rPr>
      </w:pPr>
      <w:r w:rsidRPr="00AF5B86">
        <w:rPr>
          <w:rFonts w:ascii="微软雅黑" w:eastAsia="微软雅黑" w:hAnsi="微软雅黑" w:cs="宋体" w:hint="eastAsia"/>
          <w:color w:val="515151"/>
          <w:kern w:val="0"/>
          <w:sz w:val="18"/>
          <w:szCs w:val="18"/>
        </w:rPr>
        <w:lastRenderedPageBreak/>
        <w:t>版权所有：中国证券监督管理委员会 京ICP备 05035542号</w:t>
      </w:r>
    </w:p>
    <w:p w:rsidR="00AF5B86" w:rsidRPr="00AF5B86" w:rsidRDefault="00AF5B86" w:rsidP="00AF5B86">
      <w:pPr>
        <w:widowControl/>
        <w:jc w:val="center"/>
        <w:rPr>
          <w:rFonts w:ascii="微软雅黑" w:eastAsia="微软雅黑" w:hAnsi="微软雅黑" w:cs="宋体" w:hint="eastAsia"/>
          <w:color w:val="515151"/>
          <w:kern w:val="0"/>
          <w:sz w:val="18"/>
          <w:szCs w:val="18"/>
        </w:rPr>
      </w:pPr>
      <w:r w:rsidRPr="00AF5B86">
        <w:rPr>
          <w:rFonts w:ascii="微软雅黑" w:eastAsia="微软雅黑" w:hAnsi="微软雅黑" w:cs="宋体" w:hint="eastAsia"/>
          <w:color w:val="515151"/>
          <w:kern w:val="0"/>
          <w:sz w:val="18"/>
          <w:szCs w:val="18"/>
        </w:rPr>
        <w:t>地址：北京市西城区金融大街19号富凯大厦A座 邮编：100033</w:t>
      </w:r>
    </w:p>
    <w:p w:rsidR="00AF5B86" w:rsidRPr="00AF5B86" w:rsidRDefault="00AF5B86" w:rsidP="00AF5B86">
      <w:pPr>
        <w:widowControl/>
        <w:jc w:val="center"/>
        <w:rPr>
          <w:rFonts w:ascii="微软雅黑" w:eastAsia="微软雅黑" w:hAnsi="微软雅黑" w:cs="宋体" w:hint="eastAsia"/>
          <w:color w:val="515151"/>
          <w:kern w:val="0"/>
          <w:sz w:val="18"/>
          <w:szCs w:val="18"/>
        </w:rPr>
      </w:pPr>
      <w:r w:rsidRPr="00AF5B86">
        <w:rPr>
          <w:rFonts w:ascii="微软雅黑" w:eastAsia="微软雅黑" w:hAnsi="微软雅黑" w:cs="宋体" w:hint="eastAsia"/>
          <w:color w:val="515151"/>
          <w:kern w:val="0"/>
          <w:sz w:val="18"/>
          <w:szCs w:val="18"/>
        </w:rPr>
        <w:t>建议使用IE5.5以上浏览器，分辨率1024*768</w:t>
      </w:r>
    </w:p>
    <w:p w:rsidR="00801F9F" w:rsidRPr="00AF5B86" w:rsidRDefault="00801F9F"/>
    <w:sectPr w:rsidR="00801F9F" w:rsidRPr="00AF5B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86"/>
    <w:rsid w:val="00801F9F"/>
    <w:rsid w:val="00AF5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C06D6-B4D0-4ADC-A565-8FD8AEB6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F5B8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F5B86"/>
    <w:rPr>
      <w:b/>
      <w:bCs/>
    </w:rPr>
  </w:style>
  <w:style w:type="paragraph" w:customStyle="1" w:styleId="p0">
    <w:name w:val="p0"/>
    <w:basedOn w:val="a"/>
    <w:rsid w:val="00AF5B8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AF5B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836758">
      <w:bodyDiv w:val="1"/>
      <w:marLeft w:val="0"/>
      <w:marRight w:val="0"/>
      <w:marTop w:val="0"/>
      <w:marBottom w:val="0"/>
      <w:divBdr>
        <w:top w:val="none" w:sz="0" w:space="0" w:color="auto"/>
        <w:left w:val="none" w:sz="0" w:space="0" w:color="auto"/>
        <w:bottom w:val="none" w:sz="0" w:space="0" w:color="auto"/>
        <w:right w:val="none" w:sz="0" w:space="0" w:color="auto"/>
      </w:divBdr>
      <w:divsChild>
        <w:div w:id="1359116315">
          <w:marLeft w:val="0"/>
          <w:marRight w:val="0"/>
          <w:marTop w:val="150"/>
          <w:marBottom w:val="150"/>
          <w:divBdr>
            <w:top w:val="none" w:sz="0" w:space="0" w:color="auto"/>
            <w:left w:val="none" w:sz="0" w:space="0" w:color="auto"/>
            <w:bottom w:val="none" w:sz="0" w:space="0" w:color="auto"/>
            <w:right w:val="none" w:sz="0" w:space="0" w:color="auto"/>
          </w:divBdr>
        </w:div>
        <w:div w:id="1498961245">
          <w:marLeft w:val="0"/>
          <w:marRight w:val="0"/>
          <w:marTop w:val="0"/>
          <w:marBottom w:val="0"/>
          <w:divBdr>
            <w:top w:val="single" w:sz="6" w:space="8" w:color="B5B5B5"/>
            <w:left w:val="single" w:sz="6" w:space="0" w:color="B5B5B5"/>
            <w:bottom w:val="single" w:sz="6" w:space="8" w:color="B5B5B5"/>
            <w:right w:val="single" w:sz="6" w:space="0" w:color="B5B5B5"/>
          </w:divBdr>
          <w:divsChild>
            <w:div w:id="1130830661">
              <w:marLeft w:val="0"/>
              <w:marRight w:val="0"/>
              <w:marTop w:val="0"/>
              <w:marBottom w:val="0"/>
              <w:divBdr>
                <w:top w:val="none" w:sz="0" w:space="0" w:color="auto"/>
                <w:left w:val="none" w:sz="0" w:space="0" w:color="auto"/>
                <w:bottom w:val="none" w:sz="0" w:space="0" w:color="auto"/>
                <w:right w:val="none" w:sz="0" w:space="0" w:color="auto"/>
              </w:divBdr>
            </w:div>
            <w:div w:id="645474335">
              <w:marLeft w:val="0"/>
              <w:marRight w:val="0"/>
              <w:marTop w:val="0"/>
              <w:marBottom w:val="0"/>
              <w:divBdr>
                <w:top w:val="none" w:sz="0" w:space="0" w:color="auto"/>
                <w:left w:val="none" w:sz="0" w:space="0" w:color="auto"/>
                <w:bottom w:val="none" w:sz="0" w:space="0" w:color="auto"/>
                <w:right w:val="none" w:sz="0" w:space="0" w:color="auto"/>
              </w:divBdr>
            </w:div>
            <w:div w:id="1432511994">
              <w:marLeft w:val="0"/>
              <w:marRight w:val="0"/>
              <w:marTop w:val="120"/>
              <w:marBottom w:val="120"/>
              <w:divBdr>
                <w:top w:val="none" w:sz="0" w:space="0" w:color="auto"/>
                <w:left w:val="none" w:sz="0" w:space="0" w:color="auto"/>
                <w:bottom w:val="none" w:sz="0" w:space="0" w:color="auto"/>
                <w:right w:val="none" w:sz="0" w:space="0" w:color="auto"/>
              </w:divBdr>
            </w:div>
          </w:divsChild>
        </w:div>
        <w:div w:id="912197717">
          <w:marLeft w:val="0"/>
          <w:marRight w:val="0"/>
          <w:marTop w:val="120"/>
          <w:marBottom w:val="0"/>
          <w:divBdr>
            <w:top w:val="none" w:sz="0" w:space="0" w:color="auto"/>
            <w:left w:val="none" w:sz="0" w:space="0" w:color="auto"/>
            <w:bottom w:val="none" w:sz="0" w:space="0" w:color="auto"/>
            <w:right w:val="none" w:sz="0" w:space="0" w:color="auto"/>
          </w:divBdr>
          <w:divsChild>
            <w:div w:id="2009821707">
              <w:marLeft w:val="0"/>
              <w:marRight w:val="0"/>
              <w:marTop w:val="60"/>
              <w:marBottom w:val="0"/>
              <w:divBdr>
                <w:top w:val="none" w:sz="0" w:space="0" w:color="auto"/>
                <w:left w:val="none" w:sz="0" w:space="0" w:color="auto"/>
                <w:bottom w:val="none" w:sz="0" w:space="0" w:color="auto"/>
                <w:right w:val="none" w:sz="0" w:space="0" w:color="auto"/>
              </w:divBdr>
            </w:div>
            <w:div w:id="1153715570">
              <w:marLeft w:val="0"/>
              <w:marRight w:val="0"/>
              <w:marTop w:val="60"/>
              <w:marBottom w:val="0"/>
              <w:divBdr>
                <w:top w:val="none" w:sz="0" w:space="0" w:color="auto"/>
                <w:left w:val="none" w:sz="0" w:space="0" w:color="auto"/>
                <w:bottom w:val="none" w:sz="0" w:space="0" w:color="auto"/>
                <w:right w:val="none" w:sz="0" w:space="0" w:color="auto"/>
              </w:divBdr>
            </w:div>
            <w:div w:id="860819371">
              <w:marLeft w:val="0"/>
              <w:marRight w:val="0"/>
              <w:marTop w:val="60"/>
              <w:marBottom w:val="0"/>
              <w:divBdr>
                <w:top w:val="none" w:sz="0" w:space="0" w:color="auto"/>
                <w:left w:val="none" w:sz="0" w:space="0" w:color="auto"/>
                <w:bottom w:val="none" w:sz="0" w:space="0" w:color="auto"/>
                <w:right w:val="none" w:sz="0" w:space="0" w:color="auto"/>
              </w:divBdr>
            </w:div>
            <w:div w:id="2588779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8/t20160822_30251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739</Words>
  <Characters>4213</Characters>
  <Application>Microsoft Office Word</Application>
  <DocSecurity>0</DocSecurity>
  <Lines>35</Lines>
  <Paragraphs>9</Paragraphs>
  <ScaleCrop>false</ScaleCrop>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2020-02-17T14:41:00Z</dcterms:created>
  <dcterms:modified xsi:type="dcterms:W3CDTF">2020-02-17T14:41:00Z</dcterms:modified>
</cp:coreProperties>
</file>