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0D6" w:rsidRPr="00EC20D6" w:rsidRDefault="00EC20D6" w:rsidP="00EC20D6">
      <w:pPr>
        <w:widowControl/>
        <w:jc w:val="center"/>
        <w:rPr>
          <w:rFonts w:ascii="微软雅黑" w:eastAsia="微软雅黑" w:hAnsi="微软雅黑" w:cs="宋体"/>
          <w:color w:val="000000"/>
          <w:kern w:val="0"/>
          <w:sz w:val="18"/>
          <w:szCs w:val="18"/>
        </w:rPr>
      </w:pPr>
      <w:r w:rsidRPr="00EC20D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C20D6" w:rsidRPr="00EC20D6" w:rsidTr="00EC20D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20D6" w:rsidRPr="00EC20D6">
              <w:trPr>
                <w:tblCellSpacing w:w="0" w:type="dxa"/>
              </w:trPr>
              <w:tc>
                <w:tcPr>
                  <w:tcW w:w="2500" w:type="pct"/>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hint="eastAsia"/>
                      <w:color w:val="686868"/>
                      <w:kern w:val="0"/>
                      <w:sz w:val="18"/>
                      <w:szCs w:val="18"/>
                    </w:rPr>
                  </w:pPr>
                  <w:r w:rsidRPr="00EC20D6">
                    <w:rPr>
                      <w:rFonts w:ascii="宋体" w:eastAsia="宋体" w:hAnsi="宋体" w:cs="宋体"/>
                      <w:b/>
                      <w:bCs/>
                      <w:color w:val="686868"/>
                      <w:kern w:val="0"/>
                      <w:sz w:val="18"/>
                      <w:szCs w:val="18"/>
                    </w:rPr>
                    <w:t>索 引 号:</w:t>
                  </w:r>
                  <w:r w:rsidRPr="00EC20D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分类:</w:t>
                  </w:r>
                  <w:r w:rsidRPr="00EC20D6">
                    <w:rPr>
                      <w:rFonts w:ascii="宋体" w:eastAsia="宋体" w:hAnsi="宋体" w:cs="宋体"/>
                      <w:color w:val="686868"/>
                      <w:kern w:val="0"/>
                      <w:sz w:val="18"/>
                      <w:szCs w:val="18"/>
                    </w:rPr>
                    <w:t> 行政处罚 ; 行政处罚决定</w:t>
                  </w:r>
                </w:p>
              </w:tc>
            </w:tr>
          </w:tbl>
          <w:p w:rsidR="00EC20D6" w:rsidRPr="00EC20D6" w:rsidRDefault="00EC20D6" w:rsidP="00EC20D6">
            <w:pPr>
              <w:widowControl/>
              <w:jc w:val="left"/>
              <w:rPr>
                <w:rFonts w:ascii="宋体" w:eastAsia="宋体" w:hAnsi="宋体" w:cs="宋体"/>
                <w:color w:val="686868"/>
                <w:kern w:val="0"/>
                <w:sz w:val="18"/>
                <w:szCs w:val="18"/>
              </w:rPr>
            </w:pPr>
          </w:p>
        </w:tc>
      </w:tr>
      <w:tr w:rsidR="00EC20D6" w:rsidRPr="00EC20D6" w:rsidTr="00EC20D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20D6" w:rsidRPr="00EC20D6">
              <w:trPr>
                <w:tblCellSpacing w:w="0" w:type="dxa"/>
              </w:trPr>
              <w:tc>
                <w:tcPr>
                  <w:tcW w:w="2500" w:type="pct"/>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发布机构:</w:t>
                  </w:r>
                  <w:r w:rsidRPr="00EC20D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发文日期:</w:t>
                  </w:r>
                  <w:r w:rsidRPr="00EC20D6">
                    <w:rPr>
                      <w:rFonts w:ascii="宋体" w:eastAsia="宋体" w:hAnsi="宋体" w:cs="宋体"/>
                      <w:color w:val="686868"/>
                      <w:kern w:val="0"/>
                      <w:sz w:val="18"/>
                      <w:szCs w:val="18"/>
                    </w:rPr>
                    <w:t> 2017年12月20日</w:t>
                  </w:r>
                </w:p>
              </w:tc>
            </w:tr>
          </w:tbl>
          <w:p w:rsidR="00EC20D6" w:rsidRPr="00EC20D6" w:rsidRDefault="00EC20D6" w:rsidP="00EC20D6">
            <w:pPr>
              <w:widowControl/>
              <w:jc w:val="left"/>
              <w:rPr>
                <w:rFonts w:ascii="宋体" w:eastAsia="宋体" w:hAnsi="宋体" w:cs="宋体"/>
                <w:color w:val="686868"/>
                <w:kern w:val="0"/>
                <w:sz w:val="18"/>
                <w:szCs w:val="18"/>
              </w:rPr>
            </w:pPr>
          </w:p>
        </w:tc>
      </w:tr>
      <w:tr w:rsidR="00EC20D6" w:rsidRPr="00EC20D6" w:rsidTr="00EC20D6">
        <w:trPr>
          <w:tblCellSpacing w:w="0" w:type="dxa"/>
        </w:trPr>
        <w:tc>
          <w:tcPr>
            <w:tcW w:w="0" w:type="auto"/>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名　　称:</w:t>
            </w:r>
            <w:r w:rsidRPr="00EC20D6">
              <w:rPr>
                <w:rFonts w:ascii="宋体" w:eastAsia="宋体" w:hAnsi="宋体" w:cs="宋体"/>
                <w:color w:val="686868"/>
                <w:kern w:val="0"/>
                <w:sz w:val="18"/>
                <w:szCs w:val="18"/>
              </w:rPr>
              <w:t> 中国证监会行政处罚决定书（吉林省信托有限责任公司、高福波）</w:t>
            </w:r>
          </w:p>
        </w:tc>
      </w:tr>
      <w:tr w:rsidR="00EC20D6" w:rsidRPr="00EC20D6" w:rsidTr="00EC20D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20D6" w:rsidRPr="00EC20D6">
              <w:trPr>
                <w:tblCellSpacing w:w="0" w:type="dxa"/>
              </w:trPr>
              <w:tc>
                <w:tcPr>
                  <w:tcW w:w="2500" w:type="pct"/>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文　　号:</w:t>
                  </w:r>
                  <w:r w:rsidRPr="00EC20D6">
                    <w:rPr>
                      <w:rFonts w:ascii="宋体" w:eastAsia="宋体" w:hAnsi="宋体" w:cs="宋体"/>
                      <w:color w:val="686868"/>
                      <w:kern w:val="0"/>
                      <w:sz w:val="18"/>
                      <w:szCs w:val="18"/>
                    </w:rPr>
                    <w:t> </w:t>
                  </w:r>
                  <w:bookmarkStart w:id="0" w:name="_GoBack"/>
                  <w:r w:rsidRPr="00EC20D6">
                    <w:rPr>
                      <w:rFonts w:ascii="宋体" w:eastAsia="宋体" w:hAnsi="宋体" w:cs="宋体"/>
                      <w:color w:val="686868"/>
                      <w:kern w:val="0"/>
                      <w:sz w:val="18"/>
                      <w:szCs w:val="18"/>
                    </w:rPr>
                    <w:t>〔2017〕104号</w:t>
                  </w:r>
                  <w:bookmarkEnd w:id="0"/>
                </w:p>
              </w:tc>
              <w:tc>
                <w:tcPr>
                  <w:tcW w:w="0" w:type="auto"/>
                  <w:tcMar>
                    <w:top w:w="30" w:type="dxa"/>
                    <w:left w:w="30" w:type="dxa"/>
                    <w:bottom w:w="30" w:type="dxa"/>
                    <w:right w:w="30" w:type="dxa"/>
                  </w:tcMar>
                  <w:hideMark/>
                </w:tcPr>
                <w:p w:rsidR="00EC20D6" w:rsidRPr="00EC20D6" w:rsidRDefault="00EC20D6" w:rsidP="00EC20D6">
                  <w:pPr>
                    <w:widowControl/>
                    <w:jc w:val="left"/>
                    <w:rPr>
                      <w:rFonts w:ascii="宋体" w:eastAsia="宋体" w:hAnsi="宋体" w:cs="宋体"/>
                      <w:color w:val="686868"/>
                      <w:kern w:val="0"/>
                      <w:sz w:val="18"/>
                      <w:szCs w:val="18"/>
                    </w:rPr>
                  </w:pPr>
                  <w:r w:rsidRPr="00EC20D6">
                    <w:rPr>
                      <w:rFonts w:ascii="宋体" w:eastAsia="宋体" w:hAnsi="宋体" w:cs="宋体"/>
                      <w:b/>
                      <w:bCs/>
                      <w:color w:val="686868"/>
                      <w:kern w:val="0"/>
                      <w:sz w:val="18"/>
                      <w:szCs w:val="18"/>
                    </w:rPr>
                    <w:t>主 题 词:</w:t>
                  </w:r>
                </w:p>
              </w:tc>
            </w:tr>
          </w:tbl>
          <w:p w:rsidR="00EC20D6" w:rsidRPr="00EC20D6" w:rsidRDefault="00EC20D6" w:rsidP="00EC20D6">
            <w:pPr>
              <w:widowControl/>
              <w:jc w:val="left"/>
              <w:rPr>
                <w:rFonts w:ascii="宋体" w:eastAsia="宋体" w:hAnsi="宋体" w:cs="宋体"/>
                <w:color w:val="686868"/>
                <w:kern w:val="0"/>
                <w:sz w:val="18"/>
                <w:szCs w:val="18"/>
              </w:rPr>
            </w:pPr>
          </w:p>
        </w:tc>
      </w:tr>
    </w:tbl>
    <w:p w:rsidR="00EC20D6" w:rsidRPr="00EC20D6" w:rsidRDefault="00EC20D6" w:rsidP="00EC20D6">
      <w:pPr>
        <w:widowControl/>
        <w:jc w:val="center"/>
        <w:rPr>
          <w:rFonts w:ascii="微软雅黑" w:eastAsia="微软雅黑" w:hAnsi="微软雅黑" w:cs="宋体"/>
          <w:color w:val="000000"/>
          <w:kern w:val="0"/>
          <w:sz w:val="18"/>
          <w:szCs w:val="18"/>
        </w:rPr>
      </w:pPr>
      <w:r w:rsidRPr="00EC20D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C20D6" w:rsidRPr="00EC20D6" w:rsidRDefault="00EC20D6" w:rsidP="00EC20D6">
      <w:pPr>
        <w:widowControl/>
        <w:shd w:val="clear" w:color="auto" w:fill="FFFFFF"/>
        <w:spacing w:after="240"/>
        <w:jc w:val="center"/>
        <w:rPr>
          <w:rFonts w:ascii="微软雅黑" w:eastAsia="微软雅黑" w:hAnsi="微软雅黑" w:cs="宋体" w:hint="eastAsia"/>
          <w:color w:val="000000"/>
          <w:kern w:val="0"/>
          <w:sz w:val="18"/>
          <w:szCs w:val="18"/>
        </w:rPr>
      </w:pPr>
      <w:r w:rsidRPr="00EC20D6">
        <w:rPr>
          <w:rFonts w:ascii="微软雅黑" w:eastAsia="微软雅黑" w:hAnsi="微软雅黑" w:cs="宋体" w:hint="eastAsia"/>
          <w:color w:val="000000"/>
          <w:kern w:val="0"/>
          <w:sz w:val="18"/>
          <w:szCs w:val="18"/>
        </w:rPr>
        <w:br/>
      </w:r>
      <w:r w:rsidRPr="00EC20D6">
        <w:rPr>
          <w:rFonts w:ascii="黑体" w:eastAsia="黑体" w:hAnsi="黑体" w:cs="宋体" w:hint="eastAsia"/>
          <w:b/>
          <w:bCs/>
          <w:color w:val="FF0000"/>
          <w:kern w:val="0"/>
          <w:sz w:val="36"/>
          <w:szCs w:val="36"/>
        </w:rPr>
        <w:t>中国证监会行政处罚决定书（吉林省信托有限责任公司、高福波）</w:t>
      </w:r>
    </w:p>
    <w:p w:rsidR="00EC20D6" w:rsidRPr="00EC20D6" w:rsidRDefault="00EC20D6" w:rsidP="00EC20D6">
      <w:pPr>
        <w:widowControl/>
        <w:shd w:val="clear" w:color="auto" w:fill="FFFFFF"/>
        <w:spacing w:line="360" w:lineRule="atLeast"/>
        <w:jc w:val="center"/>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〔2017〕104号</w:t>
      </w:r>
    </w:p>
    <w:p w:rsidR="00EC20D6" w:rsidRPr="00EC20D6" w:rsidRDefault="00EC20D6" w:rsidP="00EC20D6">
      <w:pPr>
        <w:widowControl/>
        <w:shd w:val="clear" w:color="auto" w:fill="FFFFFF"/>
        <w:spacing w:line="360" w:lineRule="atLeast"/>
        <w:jc w:val="lef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当事人：吉林省信托有限责任公司（以下简称吉林信托），住所：吉林省长春市。</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高福波，男，1964年10月出生，时任吉林信托法定代表人、董事长，住址：吉林省长春市二道区。</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依据《中华人民共和国证券法》（以下简称《证券法》）的有关规定，我会依法对吉林信托内幕交易吉林森工股份有限公司（以下简称吉林森工）股票行为进行了立案调查、审理，并依法向当事人告知了</w:t>
      </w:r>
      <w:proofErr w:type="gramStart"/>
      <w:r w:rsidRPr="00EC20D6">
        <w:rPr>
          <w:rFonts w:ascii="宋体" w:eastAsia="宋体" w:hAnsi="宋体" w:cs="宋体" w:hint="eastAsia"/>
          <w:color w:val="000000"/>
          <w:kern w:val="0"/>
          <w:szCs w:val="21"/>
        </w:rPr>
        <w:t>作出</w:t>
      </w:r>
      <w:proofErr w:type="gramEnd"/>
      <w:r w:rsidRPr="00EC20D6">
        <w:rPr>
          <w:rFonts w:ascii="宋体" w:eastAsia="宋体" w:hAnsi="宋体" w:cs="宋体" w:hint="eastAsia"/>
          <w:color w:val="000000"/>
          <w:kern w:val="0"/>
          <w:szCs w:val="21"/>
        </w:rPr>
        <w:t>行政处罚的事实、理由、依据及当事人依法享有的权利。当事人吉林信托、高福波提交了陈述、申辩意见，并要求听证。应当事人的要求，我会举行听证，听取了其陈述、申辩。本案现已调查、审理终结。</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经查明，当事人存在以下违法事实：</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一、内幕信息及其形成过程</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人造板生产是吉林森工的重要业务，原材料来自控股股东中国吉林森林工业集团有限责任公司（以下简称森工集团）下属林业局的采伐剩余物。国家林业局规定2015年4月1日起禁伐天然林，吉林森工的人造板业务面临原材料枯竭，森工集团和吉林森工拟将林业相关业务从吉林</w:t>
      </w:r>
      <w:proofErr w:type="gramStart"/>
      <w:r w:rsidRPr="00EC20D6">
        <w:rPr>
          <w:rFonts w:ascii="宋体" w:eastAsia="宋体" w:hAnsi="宋体" w:cs="宋体" w:hint="eastAsia"/>
          <w:color w:val="000000"/>
          <w:kern w:val="0"/>
          <w:szCs w:val="21"/>
        </w:rPr>
        <w:t>森工置出</w:t>
      </w:r>
      <w:proofErr w:type="gramEnd"/>
      <w:r w:rsidRPr="00EC20D6">
        <w:rPr>
          <w:rFonts w:ascii="宋体" w:eastAsia="宋体" w:hAnsi="宋体" w:cs="宋体" w:hint="eastAsia"/>
          <w:color w:val="000000"/>
          <w:kern w:val="0"/>
          <w:szCs w:val="21"/>
        </w:rPr>
        <w:t>。</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2015年4月，森工集团开始分流人造板生产线闲置人员，6月末工作完成。森工集团董事长柏某新于5月、6月安排森工集团副总经理李某组织人员研究人造板的整合路径。5月29日起，整合思路为拟将吉林森工的人造板资产装入森工集团下属的吉林森工人造板集团有限公司（以下简称人造板集团）。6月至7月16日，《人造板产业整合重组方案》多次修改完善，由李某向柏某新汇报方案进展情况。6月，“吉林森工”</w:t>
      </w:r>
      <w:proofErr w:type="gramStart"/>
      <w:r w:rsidRPr="00EC20D6">
        <w:rPr>
          <w:rFonts w:ascii="宋体" w:eastAsia="宋体" w:hAnsi="宋体" w:cs="宋体" w:hint="eastAsia"/>
          <w:color w:val="000000"/>
          <w:kern w:val="0"/>
          <w:szCs w:val="21"/>
        </w:rPr>
        <w:t>复牌满三个月</w:t>
      </w:r>
      <w:proofErr w:type="gramEnd"/>
      <w:r w:rsidRPr="00EC20D6">
        <w:rPr>
          <w:rFonts w:ascii="宋体" w:eastAsia="宋体" w:hAnsi="宋体" w:cs="宋体" w:hint="eastAsia"/>
          <w:color w:val="000000"/>
          <w:kern w:val="0"/>
          <w:szCs w:val="21"/>
        </w:rPr>
        <w:t>，柏某新等人</w:t>
      </w:r>
      <w:proofErr w:type="gramStart"/>
      <w:r w:rsidRPr="00EC20D6">
        <w:rPr>
          <w:rFonts w:ascii="宋体" w:eastAsia="宋体" w:hAnsi="宋体" w:cs="宋体" w:hint="eastAsia"/>
          <w:color w:val="000000"/>
          <w:kern w:val="0"/>
          <w:szCs w:val="21"/>
        </w:rPr>
        <w:t>拟再次</w:t>
      </w:r>
      <w:proofErr w:type="gramEnd"/>
      <w:r w:rsidRPr="00EC20D6">
        <w:rPr>
          <w:rFonts w:ascii="宋体" w:eastAsia="宋体" w:hAnsi="宋体" w:cs="宋体" w:hint="eastAsia"/>
          <w:color w:val="000000"/>
          <w:kern w:val="0"/>
          <w:szCs w:val="21"/>
        </w:rPr>
        <w:t>停牌筹划重组，因“吉林森工”股价较高，柏某新安排人员研究停牌时机。7月31日，吉林森工的人造板业务实质已并入人造板集团进行管理。</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lastRenderedPageBreak/>
        <w:t>2015年8月10日，“吉林森工”因重大事项停牌。8月24日吉林森工公告重大资产重组，8月31日公告拟向关联方出资参股，同时向其出售资产，9月23日公告交易对手方为森工集团的子公司，交易标的资产为人造板业务的相关股权或资产，10月14日公告交易对手方及交易方式，12月7日公告董事会审议通过重大资产重组预案，拟以人造板业务资产、负债、子公司股权向人造板集团增资，并获得人造板集团约40.08%股权。12月22日“吉林森工”复牌。</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吉林森工以人造板业务等向森工集团的人造板集团出资、参股事项，属于《证券法》第六十七条第二款第（一）项“公司经营方针和经营范围的重大变化”和第（二）项“公司的重大投资行为”规定的重大事件，属于第七十五条第二款第（一）项规定的内幕信息。内幕信息不晚于2015年6月底形成，公开于2015年12月7日。柏某新担任吉林森工和</w:t>
      </w:r>
      <w:proofErr w:type="gramStart"/>
      <w:r w:rsidRPr="00EC20D6">
        <w:rPr>
          <w:rFonts w:ascii="宋体" w:eastAsia="宋体" w:hAnsi="宋体" w:cs="宋体" w:hint="eastAsia"/>
          <w:color w:val="000000"/>
          <w:kern w:val="0"/>
          <w:szCs w:val="21"/>
        </w:rPr>
        <w:t>森工</w:t>
      </w:r>
      <w:proofErr w:type="gramEnd"/>
      <w:r w:rsidRPr="00EC20D6">
        <w:rPr>
          <w:rFonts w:ascii="宋体" w:eastAsia="宋体" w:hAnsi="宋体" w:cs="宋体" w:hint="eastAsia"/>
          <w:color w:val="000000"/>
          <w:kern w:val="0"/>
          <w:szCs w:val="21"/>
        </w:rPr>
        <w:t>集团的董事长，全面负责人造板业务整合事宜，是内幕信息知情人。</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二、吉林信托利用吉林省九圣投资信息咨询有限公司（以下简称吉林九圣）和长春恒信投资中心（以下简称长春恒信）账户内幕交易“吉林森工”的相关事实</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（一）吉林信托董事长高福波与柏某新的联络情况</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吉林信托和</w:t>
      </w:r>
      <w:proofErr w:type="gramStart"/>
      <w:r w:rsidRPr="00EC20D6">
        <w:rPr>
          <w:rFonts w:ascii="宋体" w:eastAsia="宋体" w:hAnsi="宋体" w:cs="宋体" w:hint="eastAsia"/>
          <w:color w:val="000000"/>
          <w:kern w:val="0"/>
          <w:szCs w:val="21"/>
        </w:rPr>
        <w:t>森工</w:t>
      </w:r>
      <w:proofErr w:type="gramEnd"/>
      <w:r w:rsidRPr="00EC20D6">
        <w:rPr>
          <w:rFonts w:ascii="宋体" w:eastAsia="宋体" w:hAnsi="宋体" w:cs="宋体" w:hint="eastAsia"/>
          <w:color w:val="000000"/>
          <w:kern w:val="0"/>
          <w:szCs w:val="21"/>
        </w:rPr>
        <w:t>集团均为吉林省国有企业，高福波与柏某新较为熟悉，两人在涉案账户交易“吉林森工”前后电话联系频繁。2015年6月22日、24日及28日两人</w:t>
      </w:r>
      <w:proofErr w:type="gramStart"/>
      <w:r w:rsidRPr="00EC20D6">
        <w:rPr>
          <w:rFonts w:ascii="宋体" w:eastAsia="宋体" w:hAnsi="宋体" w:cs="宋体" w:hint="eastAsia"/>
          <w:color w:val="000000"/>
          <w:kern w:val="0"/>
          <w:szCs w:val="21"/>
        </w:rPr>
        <w:t>共联系</w:t>
      </w:r>
      <w:proofErr w:type="gramEnd"/>
      <w:r w:rsidRPr="00EC20D6">
        <w:rPr>
          <w:rFonts w:ascii="宋体" w:eastAsia="宋体" w:hAnsi="宋体" w:cs="宋体" w:hint="eastAsia"/>
          <w:color w:val="000000"/>
          <w:kern w:val="0"/>
          <w:szCs w:val="21"/>
        </w:rPr>
        <w:t>4次。6月底至7月初，在吉林森工人造板业务整合方案修改完善期间，吉林</w:t>
      </w:r>
      <w:proofErr w:type="gramStart"/>
      <w:r w:rsidRPr="00EC20D6">
        <w:rPr>
          <w:rFonts w:ascii="宋体" w:eastAsia="宋体" w:hAnsi="宋体" w:cs="宋体" w:hint="eastAsia"/>
          <w:color w:val="000000"/>
          <w:kern w:val="0"/>
          <w:szCs w:val="21"/>
        </w:rPr>
        <w:t>九圣启动</w:t>
      </w:r>
      <w:proofErr w:type="gramEnd"/>
      <w:r w:rsidRPr="00EC20D6">
        <w:rPr>
          <w:rFonts w:ascii="宋体" w:eastAsia="宋体" w:hAnsi="宋体" w:cs="宋体" w:hint="eastAsia"/>
          <w:color w:val="000000"/>
          <w:kern w:val="0"/>
          <w:szCs w:val="21"/>
        </w:rPr>
        <w:t>融资、长春恒信筹划设立。7月9日“吉林九圣”账户收到资金，7月10日开始买入“吉林森工”，当天两人联系。7月13日“吉林九圣”账户再次买入股票，当天两人联系。7月13日至17日，“吉林九圣”账户持续买入股票，“长春恒信”账户也于17日收到资金的当天开始买入。7月28日“长春恒信”账户再次买入股票，当天两人联系。8月3日“长春恒信”账户最后一次买入股票，当天两人联系。8月10日吉林森工公告停牌，次日两人联系。</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（二）吉林信托控制使用“吉林九圣”和“长春恒信”账户</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通过信托计划，吉林信托在2015年7月至12月期间任</w:t>
      </w:r>
      <w:proofErr w:type="gramStart"/>
      <w:r w:rsidRPr="00EC20D6">
        <w:rPr>
          <w:rFonts w:ascii="宋体" w:eastAsia="宋体" w:hAnsi="宋体" w:cs="宋体" w:hint="eastAsia"/>
          <w:color w:val="000000"/>
          <w:kern w:val="0"/>
          <w:szCs w:val="21"/>
        </w:rPr>
        <w:t>吉林九圣和</w:t>
      </w:r>
      <w:proofErr w:type="gramEnd"/>
      <w:r w:rsidRPr="00EC20D6">
        <w:rPr>
          <w:rFonts w:ascii="宋体" w:eastAsia="宋体" w:hAnsi="宋体" w:cs="宋体" w:hint="eastAsia"/>
          <w:color w:val="000000"/>
          <w:kern w:val="0"/>
          <w:szCs w:val="21"/>
        </w:rPr>
        <w:t>长春恒信的大股东或主要合伙人，吉林</w:t>
      </w:r>
      <w:proofErr w:type="gramStart"/>
      <w:r w:rsidRPr="00EC20D6">
        <w:rPr>
          <w:rFonts w:ascii="宋体" w:eastAsia="宋体" w:hAnsi="宋体" w:cs="宋体" w:hint="eastAsia"/>
          <w:color w:val="000000"/>
          <w:kern w:val="0"/>
          <w:szCs w:val="21"/>
        </w:rPr>
        <w:t>九圣于</w:t>
      </w:r>
      <w:proofErr w:type="gramEnd"/>
      <w:r w:rsidRPr="00EC20D6">
        <w:rPr>
          <w:rFonts w:ascii="宋体" w:eastAsia="宋体" w:hAnsi="宋体" w:cs="宋体" w:hint="eastAsia"/>
          <w:color w:val="000000"/>
          <w:kern w:val="0"/>
          <w:szCs w:val="21"/>
        </w:rPr>
        <w:t>7月8日在浙</w:t>
      </w:r>
      <w:proofErr w:type="gramStart"/>
      <w:r w:rsidRPr="00EC20D6">
        <w:rPr>
          <w:rFonts w:ascii="宋体" w:eastAsia="宋体" w:hAnsi="宋体" w:cs="宋体" w:hint="eastAsia"/>
          <w:color w:val="000000"/>
          <w:kern w:val="0"/>
          <w:szCs w:val="21"/>
        </w:rPr>
        <w:t>商证券</w:t>
      </w:r>
      <w:proofErr w:type="gramEnd"/>
      <w:r w:rsidRPr="00EC20D6">
        <w:rPr>
          <w:rFonts w:ascii="宋体" w:eastAsia="宋体" w:hAnsi="宋体" w:cs="宋体" w:hint="eastAsia"/>
          <w:color w:val="000000"/>
          <w:kern w:val="0"/>
          <w:szCs w:val="21"/>
        </w:rPr>
        <w:t>开立证券账户、在兴业银行开立三方存管银行账户，7月9日收到资金并于同日委托吉林信托代理从事证券交易活动。长春恒信于7月16日在浙</w:t>
      </w:r>
      <w:proofErr w:type="gramStart"/>
      <w:r w:rsidRPr="00EC20D6">
        <w:rPr>
          <w:rFonts w:ascii="宋体" w:eastAsia="宋体" w:hAnsi="宋体" w:cs="宋体" w:hint="eastAsia"/>
          <w:color w:val="000000"/>
          <w:kern w:val="0"/>
          <w:szCs w:val="21"/>
        </w:rPr>
        <w:t>商证券</w:t>
      </w:r>
      <w:proofErr w:type="gramEnd"/>
      <w:r w:rsidRPr="00EC20D6">
        <w:rPr>
          <w:rFonts w:ascii="宋体" w:eastAsia="宋体" w:hAnsi="宋体" w:cs="宋体" w:hint="eastAsia"/>
          <w:color w:val="000000"/>
          <w:kern w:val="0"/>
          <w:szCs w:val="21"/>
        </w:rPr>
        <w:t>开立证券账户、在兴业银行开立三方存管银行账户，7月17日收到资金并于同日委托吉林信托代理从事证券交易活动。</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（三）涉案账户交易“吉林森工”的情况</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高福波通过电话向吉林信托证券投资部交易员</w:t>
      </w:r>
      <w:proofErr w:type="gramStart"/>
      <w:r w:rsidRPr="00EC20D6">
        <w:rPr>
          <w:rFonts w:ascii="宋体" w:eastAsia="宋体" w:hAnsi="宋体" w:cs="宋体" w:hint="eastAsia"/>
          <w:color w:val="000000"/>
          <w:kern w:val="0"/>
          <w:szCs w:val="21"/>
        </w:rPr>
        <w:t>刘某飞下达</w:t>
      </w:r>
      <w:proofErr w:type="gramEnd"/>
      <w:r w:rsidRPr="00EC20D6">
        <w:rPr>
          <w:rFonts w:ascii="宋体" w:eastAsia="宋体" w:hAnsi="宋体" w:cs="宋体" w:hint="eastAsia"/>
          <w:color w:val="000000"/>
          <w:kern w:val="0"/>
          <w:szCs w:val="21"/>
        </w:rPr>
        <w:t>交易指令，涉案账户买入“吉林森工”之前，两人无联系。7月10日至8月4日涉案账户交易“吉林森工”期间，两人联系多达34次。涉案账户暂停交易“吉林森工”后，两人仅于8月10日股票停牌以及8月24日公告重大资产重组当天联系，此后“长春恒信”账户开始交易其他股票，至11月25日两人不再联系。涉案账户买入股票的IP、MAC地址与刘某飞工作电脑的网络、硬件信息一致，其中一笔手机下单的电话号码也为刘某飞手机号。</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吉林九圣”账户在2015年7月10日至7月17日期间，共买入12,025,021股，成交金额148,447,632.52元。7月30日卖出1,095,421股，成交金额15,941,254.5元。7月31日再次买入1,182,652股，成交金额15,914,555.03元。12月23日至24日全部卖出，</w:t>
      </w:r>
      <w:r w:rsidRPr="00EC20D6">
        <w:rPr>
          <w:rFonts w:ascii="宋体" w:eastAsia="宋体" w:hAnsi="宋体" w:cs="宋体" w:hint="eastAsia"/>
          <w:color w:val="000000"/>
          <w:kern w:val="0"/>
          <w:szCs w:val="21"/>
        </w:rPr>
        <w:lastRenderedPageBreak/>
        <w:t>交易盈利23,318,472.64元。该账户开户</w:t>
      </w:r>
      <w:proofErr w:type="gramStart"/>
      <w:r w:rsidRPr="00EC20D6">
        <w:rPr>
          <w:rFonts w:ascii="宋体" w:eastAsia="宋体" w:hAnsi="宋体" w:cs="宋体" w:hint="eastAsia"/>
          <w:color w:val="000000"/>
          <w:kern w:val="0"/>
          <w:szCs w:val="21"/>
        </w:rPr>
        <w:t>至调查</w:t>
      </w:r>
      <w:proofErr w:type="gramEnd"/>
      <w:r w:rsidRPr="00EC20D6">
        <w:rPr>
          <w:rFonts w:ascii="宋体" w:eastAsia="宋体" w:hAnsi="宋体" w:cs="宋体" w:hint="eastAsia"/>
          <w:color w:val="000000"/>
          <w:kern w:val="0"/>
          <w:szCs w:val="21"/>
        </w:rPr>
        <w:t>期间，</w:t>
      </w:r>
      <w:proofErr w:type="gramStart"/>
      <w:r w:rsidRPr="00EC20D6">
        <w:rPr>
          <w:rFonts w:ascii="宋体" w:eastAsia="宋体" w:hAnsi="宋体" w:cs="宋体" w:hint="eastAsia"/>
          <w:color w:val="000000"/>
          <w:kern w:val="0"/>
          <w:szCs w:val="21"/>
        </w:rPr>
        <w:t>仅交易</w:t>
      </w:r>
      <w:proofErr w:type="gramEnd"/>
      <w:r w:rsidRPr="00EC20D6">
        <w:rPr>
          <w:rFonts w:ascii="宋体" w:eastAsia="宋体" w:hAnsi="宋体" w:cs="宋体" w:hint="eastAsia"/>
          <w:color w:val="000000"/>
          <w:kern w:val="0"/>
          <w:szCs w:val="21"/>
        </w:rPr>
        <w:t>过吉林森工一只股票，买卖股票金额占账户可用资金近100%。</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长春恒信”账户在2015年7月17日至29日期间，共买入2,353,975股，成交金额29,354,758.22元，7月30日全部卖出，成交金额34,421,012.63元。7月31日、8月3日该账户再次买入6,669,102股，成交金额85,592,426.07元。12月22日全部卖出，交易盈利20,414,757.41元。该账户开户至8月3日期间，</w:t>
      </w:r>
      <w:proofErr w:type="gramStart"/>
      <w:r w:rsidRPr="00EC20D6">
        <w:rPr>
          <w:rFonts w:ascii="宋体" w:eastAsia="宋体" w:hAnsi="宋体" w:cs="宋体" w:hint="eastAsia"/>
          <w:color w:val="000000"/>
          <w:kern w:val="0"/>
          <w:szCs w:val="21"/>
        </w:rPr>
        <w:t>仅交易</w:t>
      </w:r>
      <w:proofErr w:type="gramEnd"/>
      <w:r w:rsidRPr="00EC20D6">
        <w:rPr>
          <w:rFonts w:ascii="宋体" w:eastAsia="宋体" w:hAnsi="宋体" w:cs="宋体" w:hint="eastAsia"/>
          <w:color w:val="000000"/>
          <w:kern w:val="0"/>
          <w:szCs w:val="21"/>
        </w:rPr>
        <w:t>过吉林森工一只股票，8月24日后开始交易其他股票。该账户交易“吉林森工”的金额明显大于其他股票，买入意愿强烈。</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涉案账户在内幕信息形成后、公开前累计买入“吉林森工”22,230,750股，成交金额279,309,371.84元，累计卖出3,449,396股，成交金额50,362,267.13元，于内幕信息公开后卖出全部“吉林森工”，交易盈利43,733,230.05元。</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综上，内幕信息形成后，高福波与柏某新存在联络，此后吉林九圣、长春恒信陆续开立证券账户和三方存管银行账户，两账户均于开立次日即收到资金，并于收到资金当天委托吉林信托代理从事证券交易活动。涉案账户的证券交易活动与内幕信息高度吻合，买入、卖出“吉林森工”的时间与高福波同柏某新联络的时间基本一致，交易行为明显异常。</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三、吉林信托超比例持股未披露且在限制期内交易股票</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2015年8月3日，“吉林九圣”和“长春恒信”两账户累计买入吉林森工已发行股份5%时，吉林信托没有在履行报告和公告义务前停止买入，而是超比例买入3,256,354股，成交金额41,024,762.42元。</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上述事实，有相关情况说明、账户开户资料、交易流水、通讯记录、相关当事人询问笔录等证据证明，足以认定。</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吉林信托内幕交易的行为违反了《证券法》第七十三条和第七十六条第一款的规定，构成《证券法》第二百零二条所述违法行为。吉林信托超比例持股未披露及在限制期内交易的行为违反了《证券法》第三十八条和第八十六条第一款的规定，构成《证券法》第一百九十三条第二款和第二百零四条所述违法行为。对吉林信托的违法行为，时任吉林信托董事长、法定代表人高福波是直接负责的主管人员。</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吉林信托代理人在书面申辩意见中称：1.根据国家政策、吉林森工的官方网站信息、股</w:t>
      </w:r>
      <w:proofErr w:type="gramStart"/>
      <w:r w:rsidRPr="00EC20D6">
        <w:rPr>
          <w:rFonts w:ascii="宋体" w:eastAsia="宋体" w:hAnsi="宋体" w:cs="宋体" w:hint="eastAsia"/>
          <w:color w:val="000000"/>
          <w:kern w:val="0"/>
          <w:szCs w:val="21"/>
        </w:rPr>
        <w:t>吧讨论</w:t>
      </w:r>
      <w:proofErr w:type="gramEnd"/>
      <w:r w:rsidRPr="00EC20D6">
        <w:rPr>
          <w:rFonts w:ascii="宋体" w:eastAsia="宋体" w:hAnsi="宋体" w:cs="宋体" w:hint="eastAsia"/>
          <w:color w:val="000000"/>
          <w:kern w:val="0"/>
          <w:szCs w:val="21"/>
        </w:rPr>
        <w:t>以及吉林森工股价走势等，涉案内幕信息在“吉林九圣”、“长春恒信”账户交易“吉林森工”之前就已经公开。2.因工作关系和私人往来，高福波与柏某新联络一直很频繁，未讨论吉林森工重组事项。高福波2015年6月申请辞职，9月末离职，没有指示交易员刘某飞于12月卖出两涉案账户下的股票，不能仅采信刘某飞的询问笔录。3.吉林信托作为受托人仅进行事务性管理，没有接受</w:t>
      </w:r>
      <w:proofErr w:type="gramStart"/>
      <w:r w:rsidRPr="00EC20D6">
        <w:rPr>
          <w:rFonts w:ascii="宋体" w:eastAsia="宋体" w:hAnsi="宋体" w:cs="宋体" w:hint="eastAsia"/>
          <w:color w:val="000000"/>
          <w:kern w:val="0"/>
          <w:szCs w:val="21"/>
        </w:rPr>
        <w:t>吉林九圣和</w:t>
      </w:r>
      <w:proofErr w:type="gramEnd"/>
      <w:r w:rsidRPr="00EC20D6">
        <w:rPr>
          <w:rFonts w:ascii="宋体" w:eastAsia="宋体" w:hAnsi="宋体" w:cs="宋体" w:hint="eastAsia"/>
          <w:color w:val="000000"/>
          <w:kern w:val="0"/>
          <w:szCs w:val="21"/>
        </w:rPr>
        <w:t>长春恒信代为证券交易的授权。根据交易惯例，高福波此前从未向交易员下达过交易指令，若高福</w:t>
      </w:r>
      <w:proofErr w:type="gramStart"/>
      <w:r w:rsidRPr="00EC20D6">
        <w:rPr>
          <w:rFonts w:ascii="宋体" w:eastAsia="宋体" w:hAnsi="宋体" w:cs="宋体" w:hint="eastAsia"/>
          <w:color w:val="000000"/>
          <w:kern w:val="0"/>
          <w:szCs w:val="21"/>
        </w:rPr>
        <w:t>波此次</w:t>
      </w:r>
      <w:proofErr w:type="gramEnd"/>
      <w:r w:rsidRPr="00EC20D6">
        <w:rPr>
          <w:rFonts w:ascii="宋体" w:eastAsia="宋体" w:hAnsi="宋体" w:cs="宋体" w:hint="eastAsia"/>
          <w:color w:val="000000"/>
          <w:kern w:val="0"/>
          <w:szCs w:val="21"/>
        </w:rPr>
        <w:t>提供了投资建议或决策，则与吉林信托事务性管理的职责相悖，</w:t>
      </w:r>
      <w:proofErr w:type="gramStart"/>
      <w:r w:rsidRPr="00EC20D6">
        <w:rPr>
          <w:rFonts w:ascii="宋体" w:eastAsia="宋体" w:hAnsi="宋体" w:cs="宋体" w:hint="eastAsia"/>
          <w:color w:val="000000"/>
          <w:kern w:val="0"/>
          <w:szCs w:val="21"/>
        </w:rPr>
        <w:t>且违反</w:t>
      </w:r>
      <w:proofErr w:type="gramEnd"/>
      <w:r w:rsidRPr="00EC20D6">
        <w:rPr>
          <w:rFonts w:ascii="宋体" w:eastAsia="宋体" w:hAnsi="宋体" w:cs="宋体" w:hint="eastAsia"/>
          <w:color w:val="000000"/>
          <w:kern w:val="0"/>
          <w:szCs w:val="21"/>
        </w:rPr>
        <w:t>吉林信托相关管理规定，属于个人行为。4.吉林信托没有从事内幕交易，仅收取固定信托报酬，不享有涉案账户的收益，没有违法所得，不应被没收任何收入和处以罚款。请求我会对其内幕交易事项免予处罚。</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高福波及其代理人在书面申辩意见中称：1.其与柏某新日常联络很频繁，内幕信息形成后两人的联络是出于工作原因以及协调朋友亲属的工作调动事项。2.吉林森工重组事项在股吧内被广泛讨论，同时国家政策及市场公开信息显示重组有必然性，并且吉林森工在重组实</w:t>
      </w:r>
      <w:r w:rsidRPr="00EC20D6">
        <w:rPr>
          <w:rFonts w:ascii="宋体" w:eastAsia="宋体" w:hAnsi="宋体" w:cs="宋体" w:hint="eastAsia"/>
          <w:color w:val="000000"/>
          <w:kern w:val="0"/>
          <w:szCs w:val="21"/>
        </w:rPr>
        <w:lastRenderedPageBreak/>
        <w:t>施结束后才陆续公告，已无密可保，买入吉林森</w:t>
      </w:r>
      <w:proofErr w:type="gramStart"/>
      <w:r w:rsidRPr="00EC20D6">
        <w:rPr>
          <w:rFonts w:ascii="宋体" w:eastAsia="宋体" w:hAnsi="宋体" w:cs="宋体" w:hint="eastAsia"/>
          <w:color w:val="000000"/>
          <w:kern w:val="0"/>
          <w:szCs w:val="21"/>
        </w:rPr>
        <w:t>工股票</w:t>
      </w:r>
      <w:proofErr w:type="gramEnd"/>
      <w:r w:rsidRPr="00EC20D6">
        <w:rPr>
          <w:rFonts w:ascii="宋体" w:eastAsia="宋体" w:hAnsi="宋体" w:cs="宋体" w:hint="eastAsia"/>
          <w:color w:val="000000"/>
          <w:kern w:val="0"/>
          <w:szCs w:val="21"/>
        </w:rPr>
        <w:t>是基于市场上的公开信息以及专业判断。3.两账户买入“吉林森工”后，在停牌前均存在卖出行为，不符合内幕交易特点。4.获取内幕信息，联络一次即可，其与柏某新多次联络，不符合获取内幕信息的逻辑。5.其与刘某飞联络是出于关注吉林信托的交易情况，且大多在非交易时间联络。6.刘某飞的笔录不具有客观性，原因是其对自己的职务安排不满。7.买入“吉林森工”时，其已提交辞职申请，且开始部分参与新单位的相关工作，没有为吉林信托内幕交易的主观动机。8.其法律意识强，家人没有交易吉林森工股票。请求我会对其免予处罚。</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经复核，我会认为：第一，林业局公布的国家政策性信息，吉林森工官方网站公布的日常经营性、战略规划性信息，以及股吧等平台的讨论信息，并不是关于涉案资产重组真实、准确、完整的信息，也不是在我会指定媒体发布并置备于官方网站、证券交易所的依法披露的信息。此外，影响股价走势的因素很多，不能据此判断内幕信息已经公开。关于买入行为是基于公开信息和专业判断的申辩，不足以解释吉林信托交易“吉林森工”的异常性。</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二，我会认定吉林信托内幕交易，并非仅依据高福波与柏某新在内幕信息形成后的联络或刘某飞的询问笔录。内幕信息形成后，高福波与柏某新联络接触的时间、长春恒信和两信托计划的设立时间、涉案账户的开户时间、资金到账时间以及涉案账户交易“吉林森工”的时间等均与内幕信息基本一致，并且买入量极大，超过吉林森工已发行股份5%时未停止交易且未予以公告，复牌后立即全部卖出，交易行为明显异常。</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三，吉林信托主动提交了吉林九圣、长春恒信委托吉林信托利用两公司账户进行证券交易的委托书。根据吉林信托多名员工询问笔录，交易“吉林森工”的指令均由吉林九圣、长春恒信在交易结束后予以补充盖章。同时根据</w:t>
      </w:r>
      <w:proofErr w:type="gramStart"/>
      <w:r w:rsidRPr="00EC20D6">
        <w:rPr>
          <w:rFonts w:ascii="宋体" w:eastAsia="宋体" w:hAnsi="宋体" w:cs="宋体" w:hint="eastAsia"/>
          <w:color w:val="000000"/>
          <w:kern w:val="0"/>
          <w:szCs w:val="21"/>
        </w:rPr>
        <w:t>吉林九圣多名</w:t>
      </w:r>
      <w:proofErr w:type="gramEnd"/>
      <w:r w:rsidRPr="00EC20D6">
        <w:rPr>
          <w:rFonts w:ascii="宋体" w:eastAsia="宋体" w:hAnsi="宋体" w:cs="宋体" w:hint="eastAsia"/>
          <w:color w:val="000000"/>
          <w:kern w:val="0"/>
          <w:szCs w:val="21"/>
        </w:rPr>
        <w:t>负责人的询问笔录，吉林</w:t>
      </w:r>
      <w:proofErr w:type="gramStart"/>
      <w:r w:rsidRPr="00EC20D6">
        <w:rPr>
          <w:rFonts w:ascii="宋体" w:eastAsia="宋体" w:hAnsi="宋体" w:cs="宋体" w:hint="eastAsia"/>
          <w:color w:val="000000"/>
          <w:kern w:val="0"/>
          <w:szCs w:val="21"/>
        </w:rPr>
        <w:t>九圣已</w:t>
      </w:r>
      <w:proofErr w:type="gramEnd"/>
      <w:r w:rsidRPr="00EC20D6">
        <w:rPr>
          <w:rFonts w:ascii="宋体" w:eastAsia="宋体" w:hAnsi="宋体" w:cs="宋体" w:hint="eastAsia"/>
          <w:color w:val="000000"/>
          <w:kern w:val="0"/>
          <w:szCs w:val="21"/>
        </w:rPr>
        <w:t>将股票账户全权委托给吉林信托，未向吉林信托发送过交易指令。长春恒信系高福波时任吉林信托董事长期间，以两名员工名义注册成立，实际由吉林信托控制。对于吉林信托未接受代为证券交易授权的申辩，我会不予采信。</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第四，</w:t>
      </w:r>
      <w:proofErr w:type="gramStart"/>
      <w:r w:rsidRPr="00EC20D6">
        <w:rPr>
          <w:rFonts w:ascii="宋体" w:eastAsia="宋体" w:hAnsi="宋体" w:cs="宋体" w:hint="eastAsia"/>
          <w:color w:val="000000"/>
          <w:kern w:val="0"/>
          <w:szCs w:val="21"/>
        </w:rPr>
        <w:t>高福波虽递交</w:t>
      </w:r>
      <w:proofErr w:type="gramEnd"/>
      <w:r w:rsidRPr="00EC20D6">
        <w:rPr>
          <w:rFonts w:ascii="宋体" w:eastAsia="宋体" w:hAnsi="宋体" w:cs="宋体" w:hint="eastAsia"/>
          <w:color w:val="000000"/>
          <w:kern w:val="0"/>
          <w:szCs w:val="21"/>
        </w:rPr>
        <w:t>了辞职报告，但未离职，依旧履行吉林信托董事长职责，其指示刘某飞买入“吉林森工”属于职务行为。吉林信托利用两涉案证券账户从事内幕交易，违法主体为吉林信托，高福波作为时任董事长，是直接负责的主管人员。</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第五，吉林信托是否仅收取固定报酬以及是否享有账户收益，不改变吉林信托异常交易“吉林森工”的事实，我会对内幕交易行为人进行罚没并无不当。</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第六，两涉案账户于停牌前的卖出行为不足以解释交易“吉林森工”的异常性。“吉林九圣”账户仅小额卖出约持仓量9%的股票，并于次日买回了</w:t>
      </w:r>
      <w:proofErr w:type="gramStart"/>
      <w:r w:rsidRPr="00EC20D6">
        <w:rPr>
          <w:rFonts w:ascii="宋体" w:eastAsia="宋体" w:hAnsi="宋体" w:cs="宋体" w:hint="eastAsia"/>
          <w:color w:val="000000"/>
          <w:kern w:val="0"/>
          <w:szCs w:val="21"/>
        </w:rPr>
        <w:t>约相同</w:t>
      </w:r>
      <w:proofErr w:type="gramEnd"/>
      <w:r w:rsidRPr="00EC20D6">
        <w:rPr>
          <w:rFonts w:ascii="宋体" w:eastAsia="宋体" w:hAnsi="宋体" w:cs="宋体" w:hint="eastAsia"/>
          <w:color w:val="000000"/>
          <w:kern w:val="0"/>
          <w:szCs w:val="21"/>
        </w:rPr>
        <w:t>数量的股票。“长春恒信”账户卖出全部持仓后，于次日开始买回约3倍于卖出股票数量的股票。</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第七，当事人关于获取内幕信息应当只联络一次的申辩无法律依据。</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第八，高福波已申请辞职且开始部分参与新单位的工作，却异常关注吉林信托的股票交易情况，甚至频繁与交易员直接联系，与其以往工作风格不同。高福</w:t>
      </w:r>
      <w:proofErr w:type="gramStart"/>
      <w:r w:rsidRPr="00EC20D6">
        <w:rPr>
          <w:rFonts w:ascii="宋体" w:eastAsia="宋体" w:hAnsi="宋体" w:cs="宋体" w:hint="eastAsia"/>
          <w:color w:val="000000"/>
          <w:kern w:val="0"/>
          <w:szCs w:val="21"/>
        </w:rPr>
        <w:t>波是否</w:t>
      </w:r>
      <w:proofErr w:type="gramEnd"/>
      <w:r w:rsidRPr="00EC20D6">
        <w:rPr>
          <w:rFonts w:ascii="宋体" w:eastAsia="宋体" w:hAnsi="宋体" w:cs="宋体" w:hint="eastAsia"/>
          <w:color w:val="000000"/>
          <w:kern w:val="0"/>
          <w:szCs w:val="21"/>
        </w:rPr>
        <w:t>有主观动机，其家人是否购买“吉林森工”，与认定涉案违法行为无直接关系。</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综上，我会对吉林信托和高福波的申辩意见不予采纳。</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根据当事人违法行为的事实、性质、情节与社会危害程度，依据《证券法》第二百零二条、第一百九十三条第二款、第二百零四条的规定，我会决定：一、没收吉林信托违法所得</w:t>
      </w:r>
      <w:r w:rsidRPr="00EC20D6">
        <w:rPr>
          <w:rFonts w:ascii="宋体" w:eastAsia="宋体" w:hAnsi="宋体" w:cs="宋体" w:hint="eastAsia"/>
          <w:color w:val="000000"/>
          <w:kern w:val="0"/>
          <w:szCs w:val="21"/>
        </w:rPr>
        <w:lastRenderedPageBreak/>
        <w:t>43,733,230.05元，并处以43,733,230.05元罚款。二、对高</w:t>
      </w:r>
      <w:proofErr w:type="gramStart"/>
      <w:r w:rsidRPr="00EC20D6">
        <w:rPr>
          <w:rFonts w:ascii="宋体" w:eastAsia="宋体" w:hAnsi="宋体" w:cs="宋体" w:hint="eastAsia"/>
          <w:color w:val="000000"/>
          <w:kern w:val="0"/>
          <w:szCs w:val="21"/>
        </w:rPr>
        <w:t>福波给予</w:t>
      </w:r>
      <w:proofErr w:type="gramEnd"/>
      <w:r w:rsidRPr="00EC20D6">
        <w:rPr>
          <w:rFonts w:ascii="宋体" w:eastAsia="宋体" w:hAnsi="宋体" w:cs="宋体" w:hint="eastAsia"/>
          <w:color w:val="000000"/>
          <w:kern w:val="0"/>
          <w:szCs w:val="21"/>
        </w:rPr>
        <w:t>警告，并处以20万元罚款。</w:t>
      </w:r>
    </w:p>
    <w:p w:rsidR="00EC20D6" w:rsidRPr="00EC20D6" w:rsidRDefault="00EC20D6" w:rsidP="00EC20D6">
      <w:pPr>
        <w:widowControl/>
        <w:shd w:val="clear" w:color="auto" w:fill="FFFFFF"/>
        <w:spacing w:line="360" w:lineRule="atLeast"/>
        <w:ind w:firstLine="420"/>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EC20D6" w:rsidRPr="00EC20D6" w:rsidRDefault="00EC20D6" w:rsidP="00EC20D6">
      <w:pPr>
        <w:widowControl/>
        <w:shd w:val="clear" w:color="auto" w:fill="FFFFFF"/>
        <w:spacing w:line="360" w:lineRule="atLeast"/>
        <w:jc w:val="lef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w:t>
      </w:r>
    </w:p>
    <w:p w:rsidR="00EC20D6" w:rsidRPr="00EC20D6" w:rsidRDefault="00EC20D6" w:rsidP="00EC20D6">
      <w:pPr>
        <w:widowControl/>
        <w:shd w:val="clear" w:color="auto" w:fill="FFFFFF"/>
        <w:spacing w:line="360" w:lineRule="atLeast"/>
        <w:jc w:val="lef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w:t>
      </w:r>
    </w:p>
    <w:p w:rsidR="00EC20D6" w:rsidRPr="00EC20D6" w:rsidRDefault="00EC20D6" w:rsidP="00EC20D6">
      <w:pPr>
        <w:widowControl/>
        <w:shd w:val="clear" w:color="auto" w:fill="FFFFFF"/>
        <w:spacing w:line="360" w:lineRule="atLeast"/>
        <w:jc w:val="lef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w:t>
      </w:r>
    </w:p>
    <w:p w:rsidR="00EC20D6" w:rsidRPr="00EC20D6" w:rsidRDefault="00EC20D6" w:rsidP="00EC20D6">
      <w:pPr>
        <w:widowControl/>
        <w:shd w:val="clear" w:color="auto" w:fill="FFFFFF"/>
        <w:spacing w:line="360" w:lineRule="atLeast"/>
        <w:jc w:val="lef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w:t>
      </w:r>
    </w:p>
    <w:p w:rsidR="00EC20D6" w:rsidRPr="00EC20D6" w:rsidRDefault="00EC20D6" w:rsidP="00EC20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中国证监会</w:t>
      </w:r>
      <w:proofErr w:type="gramStart"/>
      <w:r w:rsidRPr="00EC20D6">
        <w:rPr>
          <w:rFonts w:ascii="宋体" w:eastAsia="宋体" w:hAnsi="宋体" w:cs="宋体" w:hint="eastAsia"/>
          <w:color w:val="000000"/>
          <w:kern w:val="0"/>
          <w:szCs w:val="21"/>
        </w:rPr>
        <w:t xml:space="preserve">　　　　</w:t>
      </w:r>
      <w:proofErr w:type="gramEnd"/>
      <w:r w:rsidRPr="00EC20D6">
        <w:rPr>
          <w:rFonts w:ascii="宋体" w:eastAsia="宋体" w:hAnsi="宋体" w:cs="宋体" w:hint="eastAsia"/>
          <w:color w:val="000000"/>
          <w:kern w:val="0"/>
          <w:szCs w:val="21"/>
        </w:rPr>
        <w:t xml:space="preserve">  　</w:t>
      </w:r>
    </w:p>
    <w:p w:rsidR="00EC20D6" w:rsidRPr="00EC20D6" w:rsidRDefault="00EC20D6" w:rsidP="00EC20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20D6">
        <w:rPr>
          <w:rFonts w:ascii="宋体" w:eastAsia="宋体" w:hAnsi="宋体" w:cs="宋体" w:hint="eastAsia"/>
          <w:color w:val="000000"/>
          <w:kern w:val="0"/>
          <w:szCs w:val="21"/>
        </w:rPr>
        <w:t xml:space="preserve">2017年12月20日　　</w:t>
      </w:r>
      <w:proofErr w:type="gramStart"/>
      <w:r w:rsidRPr="00EC20D6">
        <w:rPr>
          <w:rFonts w:ascii="宋体" w:eastAsia="宋体" w:hAnsi="宋体" w:cs="宋体" w:hint="eastAsia"/>
          <w:color w:val="000000"/>
          <w:kern w:val="0"/>
          <w:szCs w:val="21"/>
        </w:rPr>
        <w:t xml:space="preserve">　　</w:t>
      </w:r>
      <w:proofErr w:type="gramEnd"/>
    </w:p>
    <w:p w:rsidR="00EC20D6" w:rsidRPr="00EC20D6" w:rsidRDefault="00EC20D6" w:rsidP="00EC20D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C20D6" w:rsidRPr="00EC20D6" w:rsidTr="00EC20D6">
        <w:trPr>
          <w:tblCellSpacing w:w="15" w:type="dxa"/>
          <w:jc w:val="center"/>
        </w:trPr>
        <w:tc>
          <w:tcPr>
            <w:tcW w:w="900" w:type="dxa"/>
            <w:vAlign w:val="center"/>
            <w:hideMark/>
          </w:tcPr>
          <w:p w:rsidR="00EC20D6" w:rsidRPr="00EC20D6" w:rsidRDefault="00EC20D6" w:rsidP="00EC20D6">
            <w:pPr>
              <w:widowControl/>
              <w:jc w:val="left"/>
              <w:rPr>
                <w:rFonts w:ascii="宋体" w:eastAsia="宋体" w:hAnsi="宋体" w:cs="宋体" w:hint="eastAsia"/>
                <w:kern w:val="0"/>
                <w:sz w:val="18"/>
                <w:szCs w:val="18"/>
              </w:rPr>
            </w:pPr>
            <w:r w:rsidRPr="00EC20D6">
              <w:rPr>
                <w:rFonts w:ascii="宋体" w:eastAsia="宋体" w:hAnsi="宋体" w:cs="宋体"/>
                <w:kern w:val="0"/>
                <w:sz w:val="18"/>
                <w:szCs w:val="18"/>
              </w:rPr>
              <w:t> </w:t>
            </w:r>
          </w:p>
        </w:tc>
        <w:tc>
          <w:tcPr>
            <w:tcW w:w="1200" w:type="dxa"/>
            <w:vAlign w:val="center"/>
            <w:hideMark/>
          </w:tcPr>
          <w:p w:rsidR="00EC20D6" w:rsidRPr="00EC20D6" w:rsidRDefault="00EC20D6" w:rsidP="00EC20D6">
            <w:pPr>
              <w:widowControl/>
              <w:jc w:val="left"/>
              <w:rPr>
                <w:rFonts w:ascii="宋体" w:eastAsia="宋体" w:hAnsi="宋体" w:cs="宋体"/>
                <w:kern w:val="0"/>
                <w:sz w:val="18"/>
                <w:szCs w:val="18"/>
              </w:rPr>
            </w:pPr>
            <w:r w:rsidRPr="00EC20D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20D6" w:rsidRPr="00EC20D6" w:rsidRDefault="00EC20D6" w:rsidP="00EC20D6">
            <w:pPr>
              <w:widowControl/>
              <w:jc w:val="left"/>
              <w:rPr>
                <w:rFonts w:ascii="宋体" w:eastAsia="宋体" w:hAnsi="宋体" w:cs="宋体"/>
                <w:kern w:val="0"/>
                <w:sz w:val="18"/>
                <w:szCs w:val="18"/>
              </w:rPr>
            </w:pPr>
            <w:r w:rsidRPr="00EC20D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20D6" w:rsidRPr="00EC20D6" w:rsidRDefault="00EC20D6" w:rsidP="00EC20D6">
            <w:pPr>
              <w:widowControl/>
              <w:jc w:val="left"/>
              <w:rPr>
                <w:rFonts w:ascii="宋体" w:eastAsia="宋体" w:hAnsi="宋体" w:cs="宋体"/>
                <w:kern w:val="0"/>
                <w:sz w:val="18"/>
                <w:szCs w:val="18"/>
              </w:rPr>
            </w:pPr>
            <w:r w:rsidRPr="00EC20D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C20D6" w:rsidRPr="00EC20D6" w:rsidRDefault="00EC20D6" w:rsidP="00EC20D6">
      <w:pPr>
        <w:widowControl/>
        <w:jc w:val="center"/>
        <w:rPr>
          <w:rFonts w:ascii="微软雅黑" w:eastAsia="微软雅黑" w:hAnsi="微软雅黑" w:cs="宋体"/>
          <w:color w:val="515151"/>
          <w:kern w:val="0"/>
          <w:sz w:val="18"/>
          <w:szCs w:val="18"/>
        </w:rPr>
      </w:pPr>
      <w:hyperlink r:id="rId11" w:tgtFrame="_blank" w:history="1">
        <w:r w:rsidRPr="00EC20D6">
          <w:rPr>
            <w:rFonts w:ascii="微软雅黑" w:eastAsia="微软雅黑" w:hAnsi="微软雅黑" w:cs="宋体" w:hint="eastAsia"/>
            <w:color w:val="0000FF"/>
            <w:kern w:val="0"/>
            <w:sz w:val="18"/>
            <w:szCs w:val="18"/>
            <w:u w:val="single"/>
          </w:rPr>
          <w:t>关于我们</w:t>
        </w:r>
      </w:hyperlink>
      <w:r w:rsidRPr="00EC20D6">
        <w:rPr>
          <w:rFonts w:ascii="微软雅黑" w:eastAsia="微软雅黑" w:hAnsi="微软雅黑" w:cs="宋体" w:hint="eastAsia"/>
          <w:color w:val="515151"/>
          <w:kern w:val="0"/>
          <w:sz w:val="18"/>
          <w:szCs w:val="18"/>
        </w:rPr>
        <w:t> - </w:t>
      </w:r>
      <w:hyperlink r:id="rId12" w:tgtFrame="_blank" w:history="1">
        <w:r w:rsidRPr="00EC20D6">
          <w:rPr>
            <w:rFonts w:ascii="微软雅黑" w:eastAsia="微软雅黑" w:hAnsi="微软雅黑" w:cs="宋体" w:hint="eastAsia"/>
            <w:color w:val="0000FF"/>
            <w:kern w:val="0"/>
            <w:sz w:val="18"/>
            <w:szCs w:val="18"/>
            <w:u w:val="single"/>
          </w:rPr>
          <w:t>法律声明</w:t>
        </w:r>
      </w:hyperlink>
      <w:r w:rsidRPr="00EC20D6">
        <w:rPr>
          <w:rFonts w:ascii="微软雅黑" w:eastAsia="微软雅黑" w:hAnsi="微软雅黑" w:cs="宋体" w:hint="eastAsia"/>
          <w:color w:val="515151"/>
          <w:kern w:val="0"/>
          <w:sz w:val="18"/>
          <w:szCs w:val="18"/>
        </w:rPr>
        <w:t> - </w:t>
      </w:r>
      <w:hyperlink r:id="rId13" w:tgtFrame="_blank" w:history="1">
        <w:r w:rsidRPr="00EC20D6">
          <w:rPr>
            <w:rFonts w:ascii="微软雅黑" w:eastAsia="微软雅黑" w:hAnsi="微软雅黑" w:cs="宋体" w:hint="eastAsia"/>
            <w:color w:val="0000FF"/>
            <w:kern w:val="0"/>
            <w:sz w:val="18"/>
            <w:szCs w:val="18"/>
            <w:u w:val="single"/>
          </w:rPr>
          <w:t>联系我们</w:t>
        </w:r>
      </w:hyperlink>
    </w:p>
    <w:p w:rsidR="00EC20D6" w:rsidRPr="00EC20D6" w:rsidRDefault="00EC20D6" w:rsidP="00EC20D6">
      <w:pPr>
        <w:widowControl/>
        <w:jc w:val="center"/>
        <w:rPr>
          <w:rFonts w:ascii="微软雅黑" w:eastAsia="微软雅黑" w:hAnsi="微软雅黑" w:cs="宋体" w:hint="eastAsia"/>
          <w:color w:val="515151"/>
          <w:kern w:val="0"/>
          <w:sz w:val="18"/>
          <w:szCs w:val="18"/>
        </w:rPr>
      </w:pPr>
      <w:r w:rsidRPr="00EC20D6">
        <w:rPr>
          <w:rFonts w:ascii="微软雅黑" w:eastAsia="微软雅黑" w:hAnsi="微软雅黑" w:cs="宋体" w:hint="eastAsia"/>
          <w:color w:val="515151"/>
          <w:kern w:val="0"/>
          <w:sz w:val="18"/>
          <w:szCs w:val="18"/>
        </w:rPr>
        <w:t>版权所有：中国证券监督管理委员会 京ICP备 05035542号</w:t>
      </w:r>
    </w:p>
    <w:p w:rsidR="00EC20D6" w:rsidRPr="00EC20D6" w:rsidRDefault="00EC20D6" w:rsidP="00EC20D6">
      <w:pPr>
        <w:widowControl/>
        <w:jc w:val="center"/>
        <w:rPr>
          <w:rFonts w:ascii="微软雅黑" w:eastAsia="微软雅黑" w:hAnsi="微软雅黑" w:cs="宋体" w:hint="eastAsia"/>
          <w:color w:val="515151"/>
          <w:kern w:val="0"/>
          <w:sz w:val="18"/>
          <w:szCs w:val="18"/>
        </w:rPr>
      </w:pPr>
      <w:r w:rsidRPr="00EC20D6">
        <w:rPr>
          <w:rFonts w:ascii="微软雅黑" w:eastAsia="微软雅黑" w:hAnsi="微软雅黑" w:cs="宋体" w:hint="eastAsia"/>
          <w:color w:val="515151"/>
          <w:kern w:val="0"/>
          <w:sz w:val="18"/>
          <w:szCs w:val="18"/>
        </w:rPr>
        <w:t>地址：北京市西城区金融大街19号富凯大厦A座 邮编：100033</w:t>
      </w:r>
    </w:p>
    <w:p w:rsidR="00EC20D6" w:rsidRPr="00EC20D6" w:rsidRDefault="00EC20D6" w:rsidP="00EC20D6">
      <w:pPr>
        <w:widowControl/>
        <w:jc w:val="center"/>
        <w:rPr>
          <w:rFonts w:ascii="微软雅黑" w:eastAsia="微软雅黑" w:hAnsi="微软雅黑" w:cs="宋体" w:hint="eastAsia"/>
          <w:color w:val="515151"/>
          <w:kern w:val="0"/>
          <w:sz w:val="18"/>
          <w:szCs w:val="18"/>
        </w:rPr>
      </w:pPr>
      <w:r w:rsidRPr="00EC20D6">
        <w:rPr>
          <w:rFonts w:ascii="微软雅黑" w:eastAsia="微软雅黑" w:hAnsi="微软雅黑" w:cs="宋体" w:hint="eastAsia"/>
          <w:color w:val="515151"/>
          <w:kern w:val="0"/>
          <w:sz w:val="18"/>
          <w:szCs w:val="18"/>
        </w:rPr>
        <w:t>建议使用IE5.5以上浏览器，分辨率1024*768</w:t>
      </w:r>
    </w:p>
    <w:p w:rsidR="00801F9F" w:rsidRPr="00EC20D6" w:rsidRDefault="00801F9F"/>
    <w:sectPr w:rsidR="00801F9F" w:rsidRPr="00EC2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D6"/>
    <w:rsid w:val="00801F9F"/>
    <w:rsid w:val="00EC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C0AF1-E139-4503-A966-5B95D7E3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20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20D6"/>
    <w:rPr>
      <w:b/>
      <w:bCs/>
    </w:rPr>
  </w:style>
  <w:style w:type="paragraph" w:customStyle="1" w:styleId="p0">
    <w:name w:val="p0"/>
    <w:basedOn w:val="a"/>
    <w:rsid w:val="00EC20D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C2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086887">
      <w:bodyDiv w:val="1"/>
      <w:marLeft w:val="0"/>
      <w:marRight w:val="0"/>
      <w:marTop w:val="0"/>
      <w:marBottom w:val="0"/>
      <w:divBdr>
        <w:top w:val="none" w:sz="0" w:space="0" w:color="auto"/>
        <w:left w:val="none" w:sz="0" w:space="0" w:color="auto"/>
        <w:bottom w:val="none" w:sz="0" w:space="0" w:color="auto"/>
        <w:right w:val="none" w:sz="0" w:space="0" w:color="auto"/>
      </w:divBdr>
      <w:divsChild>
        <w:div w:id="364139087">
          <w:marLeft w:val="0"/>
          <w:marRight w:val="0"/>
          <w:marTop w:val="150"/>
          <w:marBottom w:val="150"/>
          <w:divBdr>
            <w:top w:val="none" w:sz="0" w:space="0" w:color="auto"/>
            <w:left w:val="none" w:sz="0" w:space="0" w:color="auto"/>
            <w:bottom w:val="none" w:sz="0" w:space="0" w:color="auto"/>
            <w:right w:val="none" w:sz="0" w:space="0" w:color="auto"/>
          </w:divBdr>
        </w:div>
        <w:div w:id="2094356824">
          <w:marLeft w:val="0"/>
          <w:marRight w:val="0"/>
          <w:marTop w:val="0"/>
          <w:marBottom w:val="0"/>
          <w:divBdr>
            <w:top w:val="single" w:sz="6" w:space="8" w:color="B5B5B5"/>
            <w:left w:val="single" w:sz="6" w:space="0" w:color="B5B5B5"/>
            <w:bottom w:val="single" w:sz="6" w:space="8" w:color="B5B5B5"/>
            <w:right w:val="single" w:sz="6" w:space="0" w:color="B5B5B5"/>
          </w:divBdr>
          <w:divsChild>
            <w:div w:id="1249926937">
              <w:marLeft w:val="0"/>
              <w:marRight w:val="0"/>
              <w:marTop w:val="0"/>
              <w:marBottom w:val="0"/>
              <w:divBdr>
                <w:top w:val="none" w:sz="0" w:space="0" w:color="auto"/>
                <w:left w:val="none" w:sz="0" w:space="0" w:color="auto"/>
                <w:bottom w:val="none" w:sz="0" w:space="0" w:color="auto"/>
                <w:right w:val="none" w:sz="0" w:space="0" w:color="auto"/>
              </w:divBdr>
            </w:div>
            <w:div w:id="1601334770">
              <w:marLeft w:val="0"/>
              <w:marRight w:val="0"/>
              <w:marTop w:val="0"/>
              <w:marBottom w:val="0"/>
              <w:divBdr>
                <w:top w:val="none" w:sz="0" w:space="0" w:color="auto"/>
                <w:left w:val="none" w:sz="0" w:space="0" w:color="auto"/>
                <w:bottom w:val="none" w:sz="0" w:space="0" w:color="auto"/>
                <w:right w:val="none" w:sz="0" w:space="0" w:color="auto"/>
              </w:divBdr>
            </w:div>
            <w:div w:id="1282373970">
              <w:marLeft w:val="0"/>
              <w:marRight w:val="0"/>
              <w:marTop w:val="120"/>
              <w:marBottom w:val="120"/>
              <w:divBdr>
                <w:top w:val="none" w:sz="0" w:space="0" w:color="auto"/>
                <w:left w:val="none" w:sz="0" w:space="0" w:color="auto"/>
                <w:bottom w:val="none" w:sz="0" w:space="0" w:color="auto"/>
                <w:right w:val="none" w:sz="0" w:space="0" w:color="auto"/>
              </w:divBdr>
            </w:div>
          </w:divsChild>
        </w:div>
        <w:div w:id="2050454562">
          <w:marLeft w:val="0"/>
          <w:marRight w:val="0"/>
          <w:marTop w:val="120"/>
          <w:marBottom w:val="0"/>
          <w:divBdr>
            <w:top w:val="none" w:sz="0" w:space="0" w:color="auto"/>
            <w:left w:val="none" w:sz="0" w:space="0" w:color="auto"/>
            <w:bottom w:val="none" w:sz="0" w:space="0" w:color="auto"/>
            <w:right w:val="none" w:sz="0" w:space="0" w:color="auto"/>
          </w:divBdr>
          <w:divsChild>
            <w:div w:id="911626653">
              <w:marLeft w:val="0"/>
              <w:marRight w:val="0"/>
              <w:marTop w:val="60"/>
              <w:marBottom w:val="0"/>
              <w:divBdr>
                <w:top w:val="none" w:sz="0" w:space="0" w:color="auto"/>
                <w:left w:val="none" w:sz="0" w:space="0" w:color="auto"/>
                <w:bottom w:val="none" w:sz="0" w:space="0" w:color="auto"/>
                <w:right w:val="none" w:sz="0" w:space="0" w:color="auto"/>
              </w:divBdr>
            </w:div>
            <w:div w:id="640958929">
              <w:marLeft w:val="0"/>
              <w:marRight w:val="0"/>
              <w:marTop w:val="60"/>
              <w:marBottom w:val="0"/>
              <w:divBdr>
                <w:top w:val="none" w:sz="0" w:space="0" w:color="auto"/>
                <w:left w:val="none" w:sz="0" w:space="0" w:color="auto"/>
                <w:bottom w:val="none" w:sz="0" w:space="0" w:color="auto"/>
                <w:right w:val="none" w:sz="0" w:space="0" w:color="auto"/>
              </w:divBdr>
            </w:div>
            <w:div w:id="359358776">
              <w:marLeft w:val="0"/>
              <w:marRight w:val="0"/>
              <w:marTop w:val="60"/>
              <w:marBottom w:val="0"/>
              <w:divBdr>
                <w:top w:val="none" w:sz="0" w:space="0" w:color="auto"/>
                <w:left w:val="none" w:sz="0" w:space="0" w:color="auto"/>
                <w:bottom w:val="none" w:sz="0" w:space="0" w:color="auto"/>
                <w:right w:val="none" w:sz="0" w:space="0" w:color="auto"/>
              </w:divBdr>
            </w:div>
            <w:div w:id="12703115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2/t20171227_32963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2020-02-17T12:26:00Z</dcterms:created>
  <dcterms:modified xsi:type="dcterms:W3CDTF">2020-02-17T12:27:00Z</dcterms:modified>
</cp:coreProperties>
</file>