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FC" w:rsidRPr="000805FC" w:rsidRDefault="000805FC" w:rsidP="000805FC">
      <w:pPr>
        <w:widowControl/>
        <w:jc w:val="center"/>
        <w:rPr>
          <w:rFonts w:ascii="微软雅黑" w:eastAsia="微软雅黑" w:hAnsi="微软雅黑" w:cs="宋体"/>
          <w:color w:val="000000"/>
          <w:kern w:val="0"/>
          <w:sz w:val="18"/>
          <w:szCs w:val="18"/>
        </w:rPr>
      </w:pPr>
      <w:r w:rsidRPr="000805F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805FC" w:rsidRPr="000805FC" w:rsidTr="000805F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05FC" w:rsidRPr="000805FC">
              <w:trPr>
                <w:tblCellSpacing w:w="0" w:type="dxa"/>
              </w:trPr>
              <w:tc>
                <w:tcPr>
                  <w:tcW w:w="2500" w:type="pct"/>
                  <w:tcMar>
                    <w:top w:w="30" w:type="dxa"/>
                    <w:left w:w="30" w:type="dxa"/>
                    <w:bottom w:w="30" w:type="dxa"/>
                    <w:right w:w="30" w:type="dxa"/>
                  </w:tcMar>
                  <w:hideMark/>
                </w:tcPr>
                <w:p w:rsidR="000805FC" w:rsidRPr="000805FC" w:rsidRDefault="000805FC" w:rsidP="000805FC">
                  <w:pPr>
                    <w:widowControl/>
                    <w:jc w:val="left"/>
                    <w:rPr>
                      <w:rFonts w:ascii="宋体" w:eastAsia="宋体" w:hAnsi="宋体" w:cs="宋体" w:hint="eastAsia"/>
                      <w:color w:val="686868"/>
                      <w:kern w:val="0"/>
                      <w:sz w:val="18"/>
                      <w:szCs w:val="18"/>
                    </w:rPr>
                  </w:pPr>
                  <w:r w:rsidRPr="000805FC">
                    <w:rPr>
                      <w:rFonts w:ascii="宋体" w:eastAsia="宋体" w:hAnsi="宋体" w:cs="宋体"/>
                      <w:b/>
                      <w:bCs/>
                      <w:color w:val="686868"/>
                      <w:kern w:val="0"/>
                      <w:sz w:val="18"/>
                      <w:szCs w:val="18"/>
                    </w:rPr>
                    <w:t>索 引 号:</w:t>
                  </w:r>
                  <w:r w:rsidRPr="000805F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805FC" w:rsidRPr="000805FC" w:rsidRDefault="000805FC" w:rsidP="000805FC">
                  <w:pPr>
                    <w:widowControl/>
                    <w:jc w:val="left"/>
                    <w:rPr>
                      <w:rFonts w:ascii="宋体" w:eastAsia="宋体" w:hAnsi="宋体" w:cs="宋体"/>
                      <w:color w:val="686868"/>
                      <w:kern w:val="0"/>
                      <w:sz w:val="18"/>
                      <w:szCs w:val="18"/>
                    </w:rPr>
                  </w:pPr>
                  <w:r w:rsidRPr="000805FC">
                    <w:rPr>
                      <w:rFonts w:ascii="宋体" w:eastAsia="宋体" w:hAnsi="宋体" w:cs="宋体"/>
                      <w:b/>
                      <w:bCs/>
                      <w:color w:val="686868"/>
                      <w:kern w:val="0"/>
                      <w:sz w:val="18"/>
                      <w:szCs w:val="18"/>
                    </w:rPr>
                    <w:t>分类:</w:t>
                  </w:r>
                  <w:r w:rsidRPr="000805FC">
                    <w:rPr>
                      <w:rFonts w:ascii="宋体" w:eastAsia="宋体" w:hAnsi="宋体" w:cs="宋体"/>
                      <w:color w:val="686868"/>
                      <w:kern w:val="0"/>
                      <w:sz w:val="18"/>
                      <w:szCs w:val="18"/>
                    </w:rPr>
                    <w:t> 行政处罚 ; 行政处罚决定</w:t>
                  </w:r>
                </w:p>
              </w:tc>
            </w:tr>
          </w:tbl>
          <w:p w:rsidR="000805FC" w:rsidRPr="000805FC" w:rsidRDefault="000805FC" w:rsidP="000805FC">
            <w:pPr>
              <w:widowControl/>
              <w:jc w:val="left"/>
              <w:rPr>
                <w:rFonts w:ascii="宋体" w:eastAsia="宋体" w:hAnsi="宋体" w:cs="宋体"/>
                <w:color w:val="686868"/>
                <w:kern w:val="0"/>
                <w:sz w:val="18"/>
                <w:szCs w:val="18"/>
              </w:rPr>
            </w:pPr>
          </w:p>
        </w:tc>
      </w:tr>
      <w:tr w:rsidR="000805FC" w:rsidRPr="000805FC" w:rsidTr="000805F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05FC" w:rsidRPr="000805FC">
              <w:trPr>
                <w:tblCellSpacing w:w="0" w:type="dxa"/>
              </w:trPr>
              <w:tc>
                <w:tcPr>
                  <w:tcW w:w="2500" w:type="pct"/>
                  <w:tcMar>
                    <w:top w:w="30" w:type="dxa"/>
                    <w:left w:w="30" w:type="dxa"/>
                    <w:bottom w:w="30" w:type="dxa"/>
                    <w:right w:w="30" w:type="dxa"/>
                  </w:tcMar>
                  <w:hideMark/>
                </w:tcPr>
                <w:p w:rsidR="000805FC" w:rsidRPr="000805FC" w:rsidRDefault="000805FC" w:rsidP="000805FC">
                  <w:pPr>
                    <w:widowControl/>
                    <w:jc w:val="left"/>
                    <w:rPr>
                      <w:rFonts w:ascii="宋体" w:eastAsia="宋体" w:hAnsi="宋体" w:cs="宋体"/>
                      <w:color w:val="686868"/>
                      <w:kern w:val="0"/>
                      <w:sz w:val="18"/>
                      <w:szCs w:val="18"/>
                    </w:rPr>
                  </w:pPr>
                  <w:r w:rsidRPr="000805FC">
                    <w:rPr>
                      <w:rFonts w:ascii="宋体" w:eastAsia="宋体" w:hAnsi="宋体" w:cs="宋体"/>
                      <w:b/>
                      <w:bCs/>
                      <w:color w:val="686868"/>
                      <w:kern w:val="0"/>
                      <w:sz w:val="18"/>
                      <w:szCs w:val="18"/>
                    </w:rPr>
                    <w:t>发布机构:</w:t>
                  </w:r>
                  <w:r w:rsidRPr="000805F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805FC" w:rsidRPr="000805FC" w:rsidRDefault="000805FC" w:rsidP="000805FC">
                  <w:pPr>
                    <w:widowControl/>
                    <w:jc w:val="left"/>
                    <w:rPr>
                      <w:rFonts w:ascii="宋体" w:eastAsia="宋体" w:hAnsi="宋体" w:cs="宋体"/>
                      <w:color w:val="686868"/>
                      <w:kern w:val="0"/>
                      <w:sz w:val="18"/>
                      <w:szCs w:val="18"/>
                    </w:rPr>
                  </w:pPr>
                  <w:r w:rsidRPr="000805FC">
                    <w:rPr>
                      <w:rFonts w:ascii="宋体" w:eastAsia="宋体" w:hAnsi="宋体" w:cs="宋体"/>
                      <w:b/>
                      <w:bCs/>
                      <w:color w:val="686868"/>
                      <w:kern w:val="0"/>
                      <w:sz w:val="18"/>
                      <w:szCs w:val="18"/>
                    </w:rPr>
                    <w:t>发文日期:</w:t>
                  </w:r>
                  <w:r w:rsidRPr="000805FC">
                    <w:rPr>
                      <w:rFonts w:ascii="宋体" w:eastAsia="宋体" w:hAnsi="宋体" w:cs="宋体"/>
                      <w:color w:val="686868"/>
                      <w:kern w:val="0"/>
                      <w:sz w:val="18"/>
                      <w:szCs w:val="18"/>
                    </w:rPr>
                    <w:t> 2017年03月13日</w:t>
                  </w:r>
                </w:p>
              </w:tc>
            </w:tr>
          </w:tbl>
          <w:p w:rsidR="000805FC" w:rsidRPr="000805FC" w:rsidRDefault="000805FC" w:rsidP="000805FC">
            <w:pPr>
              <w:widowControl/>
              <w:jc w:val="left"/>
              <w:rPr>
                <w:rFonts w:ascii="宋体" w:eastAsia="宋体" w:hAnsi="宋体" w:cs="宋体"/>
                <w:color w:val="686868"/>
                <w:kern w:val="0"/>
                <w:sz w:val="18"/>
                <w:szCs w:val="18"/>
              </w:rPr>
            </w:pPr>
          </w:p>
        </w:tc>
      </w:tr>
      <w:tr w:rsidR="000805FC" w:rsidRPr="000805FC" w:rsidTr="000805FC">
        <w:trPr>
          <w:tblCellSpacing w:w="0" w:type="dxa"/>
          <w:jc w:val="center"/>
        </w:trPr>
        <w:tc>
          <w:tcPr>
            <w:tcW w:w="0" w:type="auto"/>
            <w:tcMar>
              <w:top w:w="30" w:type="dxa"/>
              <w:left w:w="30" w:type="dxa"/>
              <w:bottom w:w="30" w:type="dxa"/>
              <w:right w:w="30" w:type="dxa"/>
            </w:tcMar>
            <w:hideMark/>
          </w:tcPr>
          <w:p w:rsidR="000805FC" w:rsidRPr="000805FC" w:rsidRDefault="000805FC" w:rsidP="000805FC">
            <w:pPr>
              <w:widowControl/>
              <w:jc w:val="left"/>
              <w:rPr>
                <w:rFonts w:ascii="宋体" w:eastAsia="宋体" w:hAnsi="宋体" w:cs="宋体"/>
                <w:color w:val="686868"/>
                <w:kern w:val="0"/>
                <w:sz w:val="18"/>
                <w:szCs w:val="18"/>
              </w:rPr>
            </w:pPr>
            <w:r w:rsidRPr="000805FC">
              <w:rPr>
                <w:rFonts w:ascii="宋体" w:eastAsia="宋体" w:hAnsi="宋体" w:cs="宋体"/>
                <w:b/>
                <w:bCs/>
                <w:color w:val="686868"/>
                <w:kern w:val="0"/>
                <w:sz w:val="18"/>
                <w:szCs w:val="18"/>
              </w:rPr>
              <w:t>名　　称:</w:t>
            </w:r>
            <w:r w:rsidRPr="000805FC">
              <w:rPr>
                <w:rFonts w:ascii="宋体" w:eastAsia="宋体" w:hAnsi="宋体" w:cs="宋体"/>
                <w:color w:val="686868"/>
                <w:kern w:val="0"/>
                <w:sz w:val="18"/>
                <w:szCs w:val="18"/>
              </w:rPr>
              <w:t> 中国证监会行政处罚决定书（叶仁敏）</w:t>
            </w:r>
          </w:p>
        </w:tc>
      </w:tr>
      <w:tr w:rsidR="000805FC" w:rsidRPr="000805FC" w:rsidTr="000805F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805FC" w:rsidRPr="000805FC">
              <w:trPr>
                <w:tblCellSpacing w:w="0" w:type="dxa"/>
              </w:trPr>
              <w:tc>
                <w:tcPr>
                  <w:tcW w:w="2500" w:type="pct"/>
                  <w:tcMar>
                    <w:top w:w="30" w:type="dxa"/>
                    <w:left w:w="30" w:type="dxa"/>
                    <w:bottom w:w="30" w:type="dxa"/>
                    <w:right w:w="30" w:type="dxa"/>
                  </w:tcMar>
                  <w:hideMark/>
                </w:tcPr>
                <w:p w:rsidR="000805FC" w:rsidRPr="000805FC" w:rsidRDefault="000805FC" w:rsidP="000805FC">
                  <w:pPr>
                    <w:widowControl/>
                    <w:jc w:val="left"/>
                    <w:rPr>
                      <w:rFonts w:ascii="宋体" w:eastAsia="宋体" w:hAnsi="宋体" w:cs="宋体"/>
                      <w:color w:val="686868"/>
                      <w:kern w:val="0"/>
                      <w:sz w:val="18"/>
                      <w:szCs w:val="18"/>
                    </w:rPr>
                  </w:pPr>
                  <w:r w:rsidRPr="000805FC">
                    <w:rPr>
                      <w:rFonts w:ascii="宋体" w:eastAsia="宋体" w:hAnsi="宋体" w:cs="宋体"/>
                      <w:b/>
                      <w:bCs/>
                      <w:color w:val="686868"/>
                      <w:kern w:val="0"/>
                      <w:sz w:val="18"/>
                      <w:szCs w:val="18"/>
                    </w:rPr>
                    <w:t>文　　号:</w:t>
                  </w:r>
                  <w:r w:rsidRPr="000805FC">
                    <w:rPr>
                      <w:rFonts w:ascii="宋体" w:eastAsia="宋体" w:hAnsi="宋体" w:cs="宋体"/>
                      <w:color w:val="686868"/>
                      <w:kern w:val="0"/>
                      <w:sz w:val="18"/>
                      <w:szCs w:val="18"/>
                    </w:rPr>
                    <w:t> </w:t>
                  </w:r>
                  <w:bookmarkStart w:id="0" w:name="_GoBack"/>
                  <w:r w:rsidRPr="000805FC">
                    <w:rPr>
                      <w:rFonts w:ascii="宋体" w:eastAsia="宋体" w:hAnsi="宋体" w:cs="宋体"/>
                      <w:color w:val="686868"/>
                      <w:kern w:val="0"/>
                      <w:sz w:val="18"/>
                      <w:szCs w:val="18"/>
                    </w:rPr>
                    <w:t>〔2017〕26号</w:t>
                  </w:r>
                  <w:bookmarkEnd w:id="0"/>
                </w:p>
              </w:tc>
              <w:tc>
                <w:tcPr>
                  <w:tcW w:w="0" w:type="auto"/>
                  <w:tcMar>
                    <w:top w:w="30" w:type="dxa"/>
                    <w:left w:w="30" w:type="dxa"/>
                    <w:bottom w:w="30" w:type="dxa"/>
                    <w:right w:w="30" w:type="dxa"/>
                  </w:tcMar>
                  <w:hideMark/>
                </w:tcPr>
                <w:p w:rsidR="000805FC" w:rsidRPr="000805FC" w:rsidRDefault="000805FC" w:rsidP="000805FC">
                  <w:pPr>
                    <w:widowControl/>
                    <w:jc w:val="left"/>
                    <w:rPr>
                      <w:rFonts w:ascii="宋体" w:eastAsia="宋体" w:hAnsi="宋体" w:cs="宋体"/>
                      <w:color w:val="686868"/>
                      <w:kern w:val="0"/>
                      <w:sz w:val="18"/>
                      <w:szCs w:val="18"/>
                    </w:rPr>
                  </w:pPr>
                  <w:r w:rsidRPr="000805FC">
                    <w:rPr>
                      <w:rFonts w:ascii="宋体" w:eastAsia="宋体" w:hAnsi="宋体" w:cs="宋体"/>
                      <w:b/>
                      <w:bCs/>
                      <w:color w:val="686868"/>
                      <w:kern w:val="0"/>
                      <w:sz w:val="18"/>
                      <w:szCs w:val="18"/>
                    </w:rPr>
                    <w:t>主 题 词:</w:t>
                  </w:r>
                </w:p>
              </w:tc>
            </w:tr>
          </w:tbl>
          <w:p w:rsidR="000805FC" w:rsidRPr="000805FC" w:rsidRDefault="000805FC" w:rsidP="000805FC">
            <w:pPr>
              <w:widowControl/>
              <w:jc w:val="left"/>
              <w:rPr>
                <w:rFonts w:ascii="宋体" w:eastAsia="宋体" w:hAnsi="宋体" w:cs="宋体"/>
                <w:color w:val="686868"/>
                <w:kern w:val="0"/>
                <w:sz w:val="18"/>
                <w:szCs w:val="18"/>
              </w:rPr>
            </w:pPr>
          </w:p>
        </w:tc>
      </w:tr>
    </w:tbl>
    <w:p w:rsidR="000805FC" w:rsidRPr="000805FC" w:rsidRDefault="000805FC" w:rsidP="000805FC">
      <w:pPr>
        <w:widowControl/>
        <w:jc w:val="center"/>
        <w:rPr>
          <w:rFonts w:ascii="微软雅黑" w:eastAsia="微软雅黑" w:hAnsi="微软雅黑" w:cs="宋体"/>
          <w:color w:val="000000"/>
          <w:kern w:val="0"/>
          <w:sz w:val="18"/>
          <w:szCs w:val="18"/>
        </w:rPr>
      </w:pPr>
      <w:r w:rsidRPr="000805F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805FC" w:rsidRPr="000805FC" w:rsidRDefault="000805FC" w:rsidP="000805FC">
      <w:pPr>
        <w:widowControl/>
        <w:shd w:val="clear" w:color="auto" w:fill="FFFFFF"/>
        <w:spacing w:after="240"/>
        <w:jc w:val="center"/>
        <w:rPr>
          <w:rFonts w:ascii="微软雅黑" w:eastAsia="微软雅黑" w:hAnsi="微软雅黑" w:cs="宋体" w:hint="eastAsia"/>
          <w:color w:val="000000"/>
          <w:kern w:val="0"/>
          <w:sz w:val="18"/>
          <w:szCs w:val="18"/>
        </w:rPr>
      </w:pPr>
      <w:r w:rsidRPr="000805FC">
        <w:rPr>
          <w:rFonts w:ascii="微软雅黑" w:eastAsia="微软雅黑" w:hAnsi="微软雅黑" w:cs="宋体" w:hint="eastAsia"/>
          <w:color w:val="000000"/>
          <w:kern w:val="0"/>
          <w:sz w:val="18"/>
          <w:szCs w:val="18"/>
        </w:rPr>
        <w:br/>
      </w:r>
      <w:r w:rsidRPr="000805FC">
        <w:rPr>
          <w:rFonts w:ascii="黑体" w:eastAsia="黑体" w:hAnsi="黑体" w:cs="宋体" w:hint="eastAsia"/>
          <w:b/>
          <w:bCs/>
          <w:color w:val="FF0000"/>
          <w:kern w:val="0"/>
          <w:sz w:val="36"/>
          <w:szCs w:val="36"/>
        </w:rPr>
        <w:t>中国证监会行政处罚决定书（叶仁敏）</w:t>
      </w:r>
    </w:p>
    <w:p w:rsidR="000805FC" w:rsidRPr="000805FC" w:rsidRDefault="000805FC" w:rsidP="000805FC">
      <w:pPr>
        <w:widowControl/>
        <w:shd w:val="clear" w:color="auto" w:fill="FFFFFF"/>
        <w:spacing w:line="360" w:lineRule="atLeast"/>
        <w:jc w:val="center"/>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〔2017〕26号</w:t>
      </w:r>
    </w:p>
    <w:p w:rsidR="000805FC" w:rsidRPr="000805FC" w:rsidRDefault="000805FC" w:rsidP="000805FC">
      <w:pPr>
        <w:widowControl/>
        <w:shd w:val="clear" w:color="auto" w:fill="FFFFFF"/>
        <w:spacing w:line="360" w:lineRule="atLeast"/>
        <w:jc w:val="left"/>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 </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当事人：叶仁敏，女，1983年4月出生，住址：广东省深圳市福田区。</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依据《中华人民共和国证券法》（以下简称《证券法》）的有关规定，我会依法对叶仁敏内幕交易亿阳信通股份有限公司（以下简称亿阳信通）股票行为进行了立案调查、审理，并向当事人告知了</w:t>
      </w:r>
      <w:proofErr w:type="gramStart"/>
      <w:r w:rsidRPr="000805FC">
        <w:rPr>
          <w:rFonts w:ascii="宋体" w:eastAsia="宋体" w:hAnsi="宋体" w:cs="宋体" w:hint="eastAsia"/>
          <w:color w:val="000000"/>
          <w:kern w:val="0"/>
          <w:szCs w:val="21"/>
        </w:rPr>
        <w:t>作出</w:t>
      </w:r>
      <w:proofErr w:type="gramEnd"/>
      <w:r w:rsidRPr="000805FC">
        <w:rPr>
          <w:rFonts w:ascii="宋体" w:eastAsia="宋体" w:hAnsi="宋体" w:cs="宋体" w:hint="eastAsia"/>
          <w:color w:val="000000"/>
          <w:kern w:val="0"/>
          <w:szCs w:val="21"/>
        </w:rPr>
        <w:t>行政处罚的事实、理由、依据及当事人依法享有的权利。当事人叶仁敏提出听证申请。2016年11月9日，我会依法举行听证会，听取了当事人的陈述和申辩意见。本案现已调查、审理终结。</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经查明，叶仁敏存在以下违法事实：</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一、内幕信息形成过程及知悉情况</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2015年3月17日，国信证券股份有限公司（以下简称国信证券）</w:t>
      </w:r>
      <w:proofErr w:type="gramStart"/>
      <w:r w:rsidRPr="000805FC">
        <w:rPr>
          <w:rFonts w:ascii="宋体" w:eastAsia="宋体" w:hAnsi="宋体" w:cs="宋体" w:hint="eastAsia"/>
          <w:color w:val="000000"/>
          <w:kern w:val="0"/>
          <w:szCs w:val="21"/>
        </w:rPr>
        <w:t>石某成前往</w:t>
      </w:r>
      <w:proofErr w:type="gramEnd"/>
      <w:r w:rsidRPr="000805FC">
        <w:rPr>
          <w:rFonts w:ascii="宋体" w:eastAsia="宋体" w:hAnsi="宋体" w:cs="宋体" w:hint="eastAsia"/>
          <w:color w:val="000000"/>
          <w:kern w:val="0"/>
          <w:szCs w:val="21"/>
        </w:rPr>
        <w:t>亿阳集团股份有限公司（以下简称亿阳集团）与亿阳集团执行董事邓某会面，提及可通过非公开发行等方式提高亿阳集团持有亿阳信</w:t>
      </w:r>
      <w:proofErr w:type="gramStart"/>
      <w:r w:rsidRPr="000805FC">
        <w:rPr>
          <w:rFonts w:ascii="宋体" w:eastAsia="宋体" w:hAnsi="宋体" w:cs="宋体" w:hint="eastAsia"/>
          <w:color w:val="000000"/>
          <w:kern w:val="0"/>
          <w:szCs w:val="21"/>
        </w:rPr>
        <w:t>通股份</w:t>
      </w:r>
      <w:proofErr w:type="gramEnd"/>
      <w:r w:rsidRPr="000805FC">
        <w:rPr>
          <w:rFonts w:ascii="宋体" w:eastAsia="宋体" w:hAnsi="宋体" w:cs="宋体" w:hint="eastAsia"/>
          <w:color w:val="000000"/>
          <w:kern w:val="0"/>
          <w:szCs w:val="21"/>
        </w:rPr>
        <w:t>比例。4月20日，国信证券余某给</w:t>
      </w:r>
      <w:proofErr w:type="gramStart"/>
      <w:r w:rsidRPr="000805FC">
        <w:rPr>
          <w:rFonts w:ascii="宋体" w:eastAsia="宋体" w:hAnsi="宋体" w:cs="宋体" w:hint="eastAsia"/>
          <w:color w:val="000000"/>
          <w:kern w:val="0"/>
          <w:szCs w:val="21"/>
        </w:rPr>
        <w:t>石某成邮箱</w:t>
      </w:r>
      <w:proofErr w:type="gramEnd"/>
      <w:r w:rsidRPr="000805FC">
        <w:rPr>
          <w:rFonts w:ascii="宋体" w:eastAsia="宋体" w:hAnsi="宋体" w:cs="宋体" w:hint="eastAsia"/>
          <w:color w:val="000000"/>
          <w:kern w:val="0"/>
          <w:szCs w:val="21"/>
        </w:rPr>
        <w:t>发送名为“亿阳信通非公开发行方案重要时间节点”的邮件。4月22日，</w:t>
      </w:r>
      <w:proofErr w:type="gramStart"/>
      <w:r w:rsidRPr="000805FC">
        <w:rPr>
          <w:rFonts w:ascii="宋体" w:eastAsia="宋体" w:hAnsi="宋体" w:cs="宋体" w:hint="eastAsia"/>
          <w:color w:val="000000"/>
          <w:kern w:val="0"/>
          <w:szCs w:val="21"/>
        </w:rPr>
        <w:t>石某成给</w:t>
      </w:r>
      <w:proofErr w:type="gramEnd"/>
      <w:r w:rsidRPr="000805FC">
        <w:rPr>
          <w:rFonts w:ascii="宋体" w:eastAsia="宋体" w:hAnsi="宋体" w:cs="宋体" w:hint="eastAsia"/>
          <w:color w:val="000000"/>
          <w:kern w:val="0"/>
          <w:szCs w:val="21"/>
        </w:rPr>
        <w:t>邓某邮箱发送了名为“亿阳集团股份有限公司市值管理项目计划”的邮件，此后，双方多次邮件往来，修改市值管理计划。5月5日至8日，石某成、余某等前往北京亿阳集团与亿阳信通总裁田某文见面，洽谈并确定非公开发行事宜。5月11日，余某给邓某、石某成等邮箱发送名为“亿阳信通2015年度非公开发行股票方案”的邮件，该</w:t>
      </w:r>
      <w:proofErr w:type="gramStart"/>
      <w:r w:rsidRPr="000805FC">
        <w:rPr>
          <w:rFonts w:ascii="宋体" w:eastAsia="宋体" w:hAnsi="宋体" w:cs="宋体" w:hint="eastAsia"/>
          <w:color w:val="000000"/>
          <w:kern w:val="0"/>
          <w:szCs w:val="21"/>
        </w:rPr>
        <w:t>方案交亿阳</w:t>
      </w:r>
      <w:proofErr w:type="gramEnd"/>
      <w:r w:rsidRPr="000805FC">
        <w:rPr>
          <w:rFonts w:ascii="宋体" w:eastAsia="宋体" w:hAnsi="宋体" w:cs="宋体" w:hint="eastAsia"/>
          <w:color w:val="000000"/>
          <w:kern w:val="0"/>
          <w:szCs w:val="21"/>
        </w:rPr>
        <w:t>集团执行董事邓某后，</w:t>
      </w:r>
      <w:proofErr w:type="gramStart"/>
      <w:r w:rsidRPr="000805FC">
        <w:rPr>
          <w:rFonts w:ascii="宋体" w:eastAsia="宋体" w:hAnsi="宋体" w:cs="宋体" w:hint="eastAsia"/>
          <w:color w:val="000000"/>
          <w:kern w:val="0"/>
          <w:szCs w:val="21"/>
        </w:rPr>
        <w:t>向亿阳</w:t>
      </w:r>
      <w:proofErr w:type="gramEnd"/>
      <w:r w:rsidRPr="000805FC">
        <w:rPr>
          <w:rFonts w:ascii="宋体" w:eastAsia="宋体" w:hAnsi="宋体" w:cs="宋体" w:hint="eastAsia"/>
          <w:color w:val="000000"/>
          <w:kern w:val="0"/>
          <w:szCs w:val="21"/>
        </w:rPr>
        <w:t>集团总裁助理肖某曲、</w:t>
      </w:r>
      <w:proofErr w:type="gramStart"/>
      <w:r w:rsidRPr="000805FC">
        <w:rPr>
          <w:rFonts w:ascii="宋体" w:eastAsia="宋体" w:hAnsi="宋体" w:cs="宋体" w:hint="eastAsia"/>
          <w:color w:val="000000"/>
          <w:kern w:val="0"/>
          <w:szCs w:val="21"/>
        </w:rPr>
        <w:t>田某文和亿阳</w:t>
      </w:r>
      <w:proofErr w:type="gramEnd"/>
      <w:r w:rsidRPr="000805FC">
        <w:rPr>
          <w:rFonts w:ascii="宋体" w:eastAsia="宋体" w:hAnsi="宋体" w:cs="宋体" w:hint="eastAsia"/>
          <w:color w:val="000000"/>
          <w:kern w:val="0"/>
          <w:szCs w:val="21"/>
        </w:rPr>
        <w:t>集团董事长曲某征求意见，大家表示同意。5月13日，“亿阳信通”停牌。5月27日，亿阳信通公告非公开发行相关内容，股票于当日复牌，并披露了非公开发行股票预案，发行</w:t>
      </w:r>
      <w:proofErr w:type="gramStart"/>
      <w:r w:rsidRPr="000805FC">
        <w:rPr>
          <w:rFonts w:ascii="宋体" w:eastAsia="宋体" w:hAnsi="宋体" w:cs="宋体" w:hint="eastAsia"/>
          <w:color w:val="000000"/>
          <w:kern w:val="0"/>
          <w:szCs w:val="21"/>
        </w:rPr>
        <w:t>对象为亿阳</w:t>
      </w:r>
      <w:proofErr w:type="gramEnd"/>
      <w:r w:rsidRPr="000805FC">
        <w:rPr>
          <w:rFonts w:ascii="宋体" w:eastAsia="宋体" w:hAnsi="宋体" w:cs="宋体" w:hint="eastAsia"/>
          <w:color w:val="000000"/>
          <w:kern w:val="0"/>
          <w:szCs w:val="21"/>
        </w:rPr>
        <w:t>集团、方略亿阳2号基金（亿阳集团的部分董事、监事以及高级管理人员）</w:t>
      </w:r>
      <w:proofErr w:type="gramStart"/>
      <w:r w:rsidRPr="000805FC">
        <w:rPr>
          <w:rFonts w:ascii="宋体" w:eastAsia="宋体" w:hAnsi="宋体" w:cs="宋体" w:hint="eastAsia"/>
          <w:color w:val="000000"/>
          <w:kern w:val="0"/>
          <w:szCs w:val="21"/>
        </w:rPr>
        <w:t>和亿阳信</w:t>
      </w:r>
      <w:proofErr w:type="gramEnd"/>
      <w:r w:rsidRPr="000805FC">
        <w:rPr>
          <w:rFonts w:ascii="宋体" w:eastAsia="宋体" w:hAnsi="宋体" w:cs="宋体" w:hint="eastAsia"/>
          <w:color w:val="000000"/>
          <w:kern w:val="0"/>
          <w:szCs w:val="21"/>
        </w:rPr>
        <w:t>通2015年度第一期员工持股计划（亿阳信通的部分董事、监事、高级管理人员）。鉴于通过此次非公开发行，亿阳集团持股比例将由23.16%上升至30.15%，触发上市公司收购披露条款，亿阳信通于5月30日公告了《收购报告书》。亿阳信通5·13非公开发行及其相关内容，符合《证券法》第六十七条第二款第（八）项所述“持有公司百分之五以上股份的股东或者实际控制人，其持有股份或者控制公司的情况发</w:t>
      </w:r>
      <w:r w:rsidRPr="000805FC">
        <w:rPr>
          <w:rFonts w:ascii="宋体" w:eastAsia="宋体" w:hAnsi="宋体" w:cs="宋体" w:hint="eastAsia"/>
          <w:color w:val="000000"/>
          <w:kern w:val="0"/>
          <w:szCs w:val="21"/>
        </w:rPr>
        <w:lastRenderedPageBreak/>
        <w:t>生较大变化”的重大事件，以及《证券法》第七十五条第二款第（三）项所述“公司股权结构的重大变化”情形。在该信息公开前，属于《证券法》第七十五条第二款第（一）项和第（三）项规定的内幕信息，内幕信息敏感期为2015年4月22日至5月27日，内幕信息知情人为石某成、余某、邓某等。</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上述事实，有《亿阳信通股份有限公司非公开发行股票预案》、有关董事会决议和会议纪要、亿阳集团提供的《说明材料》，有关当事人的询问笔录等证据证明，足以认定。</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二、叶仁敏内幕交易行为</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（一）实际控制“江某”账户</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江某”账户于2009年3月18日在招商证券深圳笋岗路证券营业部开立资金账户011****578，下挂上海股东账户A749****52，深圳股东账户0131****83。三方存管银行账户为招商银行深圳分行62258878****0069账户。自开户以来，该账户共转入交易资金378,000元，其中来自叶仁敏及相关银行账户共计129,000元，另有现金存入239,000元。该账户共转出交易资金164,400元，其中去向为叶仁敏及相关银行账户共计101,600元。“江某”账户系由叶仁敏实际控制使用，“江某”账户资金来源于叶仁敏。</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上述事实，有“江某”账户开户及交易流水、当事人询问笔录等证据为证，足以认定。</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（二）叶仁敏内幕交易“亿阳信通”情况</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0805FC">
        <w:rPr>
          <w:rFonts w:ascii="宋体" w:eastAsia="宋体" w:hAnsi="宋体" w:cs="宋体" w:hint="eastAsia"/>
          <w:color w:val="000000"/>
          <w:kern w:val="0"/>
          <w:szCs w:val="21"/>
        </w:rPr>
        <w:t>叶仁敏系余某</w:t>
      </w:r>
      <w:proofErr w:type="gramEnd"/>
      <w:r w:rsidRPr="000805FC">
        <w:rPr>
          <w:rFonts w:ascii="宋体" w:eastAsia="宋体" w:hAnsi="宋体" w:cs="宋体" w:hint="eastAsia"/>
          <w:color w:val="000000"/>
          <w:kern w:val="0"/>
          <w:szCs w:val="21"/>
        </w:rPr>
        <w:t>妻子。5月11日，叶仁敏买入“亿阳信通”前后，与余某频繁通话。2015年5月11日，叶仁敏与余某通话后，随即使用“江某”账户买入“亿阳信通”12,900股，成交金额309,600元；6月1日，将前述“亿阳信通”12,900股全部卖出，成交金额407,587元，获利共计96,836.43元。</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上述事实，有当事人通讯记录、询问笔录、账户交易流水等证据证明，足以认定。</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我会认为，叶仁敏上述行为违反了《证券法》第七十六条第一款的规定，构成《证券法》第二百零二条所述违法行为。</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当事人辩称，事先告知书认定的亿阳信通5月13日增发的内幕信息敏感期应</w:t>
      </w:r>
      <w:proofErr w:type="gramStart"/>
      <w:r w:rsidRPr="000805FC">
        <w:rPr>
          <w:rFonts w:ascii="宋体" w:eastAsia="宋体" w:hAnsi="宋体" w:cs="宋体" w:hint="eastAsia"/>
          <w:color w:val="000000"/>
          <w:kern w:val="0"/>
          <w:szCs w:val="21"/>
        </w:rPr>
        <w:t>为亿阳信通召开</w:t>
      </w:r>
      <w:proofErr w:type="gramEnd"/>
      <w:r w:rsidRPr="000805FC">
        <w:rPr>
          <w:rFonts w:ascii="宋体" w:eastAsia="宋体" w:hAnsi="宋体" w:cs="宋体" w:hint="eastAsia"/>
          <w:color w:val="000000"/>
          <w:kern w:val="0"/>
          <w:szCs w:val="21"/>
        </w:rPr>
        <w:t>董事会议定之日（5月12日），“江某”账户买入时间为5月11日，早于内幕信息敏感期的起始时间。</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经复核，我会认为：亿阳集团董事长邓某为亿阳信通的实际控制人，亿阳信通5月13日增发这一内幕信息敏感期应始于动议时期，因此当事人的申辩意见不成立。</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根据当事人的违法事实、性质、情节与社会危害程度，根据《证券法》第二百零二条的规定，我会决定：没收</w:t>
      </w:r>
      <w:proofErr w:type="gramStart"/>
      <w:r w:rsidRPr="000805FC">
        <w:rPr>
          <w:rFonts w:ascii="宋体" w:eastAsia="宋体" w:hAnsi="宋体" w:cs="宋体" w:hint="eastAsia"/>
          <w:color w:val="000000"/>
          <w:kern w:val="0"/>
          <w:szCs w:val="21"/>
        </w:rPr>
        <w:t>叶仁敏违法</w:t>
      </w:r>
      <w:proofErr w:type="gramEnd"/>
      <w:r w:rsidRPr="000805FC">
        <w:rPr>
          <w:rFonts w:ascii="宋体" w:eastAsia="宋体" w:hAnsi="宋体" w:cs="宋体" w:hint="eastAsia"/>
          <w:color w:val="000000"/>
          <w:kern w:val="0"/>
          <w:szCs w:val="21"/>
        </w:rPr>
        <w:t>所得96,836.43元，并处以290,509.29元的罚款。</w:t>
      </w:r>
    </w:p>
    <w:p w:rsidR="000805FC" w:rsidRPr="000805FC" w:rsidRDefault="000805FC" w:rsidP="000805FC">
      <w:pPr>
        <w:widowControl/>
        <w:shd w:val="clear" w:color="auto" w:fill="FFFFFF"/>
        <w:spacing w:line="360" w:lineRule="atLeast"/>
        <w:ind w:firstLine="420"/>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0805FC" w:rsidRPr="000805FC" w:rsidRDefault="000805FC" w:rsidP="000805FC">
      <w:pPr>
        <w:widowControl/>
        <w:shd w:val="clear" w:color="auto" w:fill="FFFFFF"/>
        <w:spacing w:line="360" w:lineRule="atLeast"/>
        <w:jc w:val="left"/>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 </w:t>
      </w:r>
    </w:p>
    <w:p w:rsidR="000805FC" w:rsidRPr="000805FC" w:rsidRDefault="000805FC" w:rsidP="000805FC">
      <w:pPr>
        <w:widowControl/>
        <w:shd w:val="clear" w:color="auto" w:fill="FFFFFF"/>
        <w:spacing w:line="360" w:lineRule="atLeast"/>
        <w:jc w:val="left"/>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 </w:t>
      </w:r>
    </w:p>
    <w:p w:rsidR="000805FC" w:rsidRPr="000805FC" w:rsidRDefault="000805FC" w:rsidP="000805FC">
      <w:pPr>
        <w:widowControl/>
        <w:shd w:val="clear" w:color="auto" w:fill="FFFFFF"/>
        <w:spacing w:line="360" w:lineRule="atLeast"/>
        <w:jc w:val="left"/>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lastRenderedPageBreak/>
        <w:t> </w:t>
      </w:r>
    </w:p>
    <w:p w:rsidR="000805FC" w:rsidRPr="000805FC" w:rsidRDefault="000805FC" w:rsidP="000805FC">
      <w:pPr>
        <w:widowControl/>
        <w:shd w:val="clear" w:color="auto" w:fill="FFFFFF"/>
        <w:spacing w:line="360" w:lineRule="atLeast"/>
        <w:jc w:val="left"/>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 </w:t>
      </w:r>
    </w:p>
    <w:p w:rsidR="000805FC" w:rsidRPr="000805FC" w:rsidRDefault="000805FC" w:rsidP="000805F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 xml:space="preserve">中国证监会　 　　</w:t>
      </w:r>
      <w:proofErr w:type="gramStart"/>
      <w:r w:rsidRPr="000805FC">
        <w:rPr>
          <w:rFonts w:ascii="宋体" w:eastAsia="宋体" w:hAnsi="宋体" w:cs="宋体" w:hint="eastAsia"/>
          <w:color w:val="000000"/>
          <w:kern w:val="0"/>
          <w:szCs w:val="21"/>
        </w:rPr>
        <w:t xml:space="preserve">　　</w:t>
      </w:r>
      <w:proofErr w:type="gramEnd"/>
    </w:p>
    <w:p w:rsidR="000805FC" w:rsidRPr="000805FC" w:rsidRDefault="000805FC" w:rsidP="000805F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805FC">
        <w:rPr>
          <w:rFonts w:ascii="宋体" w:eastAsia="宋体" w:hAnsi="宋体" w:cs="宋体" w:hint="eastAsia"/>
          <w:color w:val="000000"/>
          <w:kern w:val="0"/>
          <w:szCs w:val="21"/>
        </w:rPr>
        <w:t xml:space="preserve">2017年3月13日　　</w:t>
      </w:r>
      <w:proofErr w:type="gramStart"/>
      <w:r w:rsidRPr="000805FC">
        <w:rPr>
          <w:rFonts w:ascii="宋体" w:eastAsia="宋体" w:hAnsi="宋体" w:cs="宋体" w:hint="eastAsia"/>
          <w:color w:val="000000"/>
          <w:kern w:val="0"/>
          <w:szCs w:val="21"/>
        </w:rPr>
        <w:t xml:space="preserve">　　</w:t>
      </w:r>
      <w:proofErr w:type="gramEnd"/>
    </w:p>
    <w:p w:rsidR="000805FC" w:rsidRPr="000805FC" w:rsidRDefault="000805FC" w:rsidP="000805F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805FC" w:rsidRPr="000805FC" w:rsidTr="000805FC">
        <w:trPr>
          <w:tblCellSpacing w:w="15" w:type="dxa"/>
          <w:jc w:val="center"/>
        </w:trPr>
        <w:tc>
          <w:tcPr>
            <w:tcW w:w="900" w:type="dxa"/>
            <w:vAlign w:val="center"/>
            <w:hideMark/>
          </w:tcPr>
          <w:p w:rsidR="000805FC" w:rsidRPr="000805FC" w:rsidRDefault="000805FC" w:rsidP="000805FC">
            <w:pPr>
              <w:widowControl/>
              <w:jc w:val="left"/>
              <w:rPr>
                <w:rFonts w:ascii="宋体" w:eastAsia="宋体" w:hAnsi="宋体" w:cs="宋体" w:hint="eastAsia"/>
                <w:kern w:val="0"/>
                <w:sz w:val="18"/>
                <w:szCs w:val="18"/>
              </w:rPr>
            </w:pPr>
            <w:r w:rsidRPr="000805FC">
              <w:rPr>
                <w:rFonts w:ascii="宋体" w:eastAsia="宋体" w:hAnsi="宋体" w:cs="宋体"/>
                <w:kern w:val="0"/>
                <w:sz w:val="18"/>
                <w:szCs w:val="18"/>
              </w:rPr>
              <w:t> </w:t>
            </w:r>
          </w:p>
        </w:tc>
        <w:tc>
          <w:tcPr>
            <w:tcW w:w="1200" w:type="dxa"/>
            <w:vAlign w:val="center"/>
            <w:hideMark/>
          </w:tcPr>
          <w:p w:rsidR="000805FC" w:rsidRPr="000805FC" w:rsidRDefault="000805FC" w:rsidP="000805FC">
            <w:pPr>
              <w:widowControl/>
              <w:jc w:val="left"/>
              <w:rPr>
                <w:rFonts w:ascii="宋体" w:eastAsia="宋体" w:hAnsi="宋体" w:cs="宋体"/>
                <w:kern w:val="0"/>
                <w:sz w:val="18"/>
                <w:szCs w:val="18"/>
              </w:rPr>
            </w:pPr>
            <w:r w:rsidRPr="000805F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05FC" w:rsidRPr="000805FC" w:rsidRDefault="000805FC" w:rsidP="000805FC">
            <w:pPr>
              <w:widowControl/>
              <w:jc w:val="left"/>
              <w:rPr>
                <w:rFonts w:ascii="宋体" w:eastAsia="宋体" w:hAnsi="宋体" w:cs="宋体"/>
                <w:kern w:val="0"/>
                <w:sz w:val="18"/>
                <w:szCs w:val="18"/>
              </w:rPr>
            </w:pPr>
            <w:r w:rsidRPr="000805F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805FC" w:rsidRPr="000805FC" w:rsidRDefault="000805FC" w:rsidP="000805FC">
            <w:pPr>
              <w:widowControl/>
              <w:jc w:val="left"/>
              <w:rPr>
                <w:rFonts w:ascii="宋体" w:eastAsia="宋体" w:hAnsi="宋体" w:cs="宋体"/>
                <w:kern w:val="0"/>
                <w:sz w:val="18"/>
                <w:szCs w:val="18"/>
              </w:rPr>
            </w:pPr>
            <w:r w:rsidRPr="000805F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805FC" w:rsidRPr="000805FC" w:rsidRDefault="000805FC" w:rsidP="000805FC">
      <w:pPr>
        <w:widowControl/>
        <w:jc w:val="center"/>
        <w:rPr>
          <w:rFonts w:ascii="微软雅黑" w:eastAsia="微软雅黑" w:hAnsi="微软雅黑" w:cs="宋体"/>
          <w:color w:val="515151"/>
          <w:kern w:val="0"/>
          <w:sz w:val="18"/>
          <w:szCs w:val="18"/>
        </w:rPr>
      </w:pPr>
      <w:hyperlink r:id="rId11" w:tgtFrame="_blank" w:history="1">
        <w:r w:rsidRPr="000805FC">
          <w:rPr>
            <w:rFonts w:ascii="微软雅黑" w:eastAsia="微软雅黑" w:hAnsi="微软雅黑" w:cs="宋体" w:hint="eastAsia"/>
            <w:color w:val="0000FF"/>
            <w:kern w:val="0"/>
            <w:sz w:val="18"/>
            <w:szCs w:val="18"/>
            <w:u w:val="single"/>
          </w:rPr>
          <w:t>关于我们</w:t>
        </w:r>
      </w:hyperlink>
      <w:r w:rsidRPr="000805FC">
        <w:rPr>
          <w:rFonts w:ascii="微软雅黑" w:eastAsia="微软雅黑" w:hAnsi="微软雅黑" w:cs="宋体" w:hint="eastAsia"/>
          <w:color w:val="515151"/>
          <w:kern w:val="0"/>
          <w:sz w:val="18"/>
          <w:szCs w:val="18"/>
        </w:rPr>
        <w:t> - </w:t>
      </w:r>
      <w:hyperlink r:id="rId12" w:tgtFrame="_blank" w:history="1">
        <w:r w:rsidRPr="000805FC">
          <w:rPr>
            <w:rFonts w:ascii="微软雅黑" w:eastAsia="微软雅黑" w:hAnsi="微软雅黑" w:cs="宋体" w:hint="eastAsia"/>
            <w:color w:val="0000FF"/>
            <w:kern w:val="0"/>
            <w:sz w:val="18"/>
            <w:szCs w:val="18"/>
            <w:u w:val="single"/>
          </w:rPr>
          <w:t>法律声明</w:t>
        </w:r>
      </w:hyperlink>
      <w:r w:rsidRPr="000805FC">
        <w:rPr>
          <w:rFonts w:ascii="微软雅黑" w:eastAsia="微软雅黑" w:hAnsi="微软雅黑" w:cs="宋体" w:hint="eastAsia"/>
          <w:color w:val="515151"/>
          <w:kern w:val="0"/>
          <w:sz w:val="18"/>
          <w:szCs w:val="18"/>
        </w:rPr>
        <w:t> - </w:t>
      </w:r>
      <w:hyperlink r:id="rId13" w:tgtFrame="_blank" w:history="1">
        <w:r w:rsidRPr="000805FC">
          <w:rPr>
            <w:rFonts w:ascii="微软雅黑" w:eastAsia="微软雅黑" w:hAnsi="微软雅黑" w:cs="宋体" w:hint="eastAsia"/>
            <w:color w:val="0000FF"/>
            <w:kern w:val="0"/>
            <w:sz w:val="18"/>
            <w:szCs w:val="18"/>
            <w:u w:val="single"/>
          </w:rPr>
          <w:t>联系我们</w:t>
        </w:r>
      </w:hyperlink>
    </w:p>
    <w:p w:rsidR="000805FC" w:rsidRPr="000805FC" w:rsidRDefault="000805FC" w:rsidP="000805FC">
      <w:pPr>
        <w:widowControl/>
        <w:jc w:val="center"/>
        <w:rPr>
          <w:rFonts w:ascii="微软雅黑" w:eastAsia="微软雅黑" w:hAnsi="微软雅黑" w:cs="宋体" w:hint="eastAsia"/>
          <w:color w:val="515151"/>
          <w:kern w:val="0"/>
          <w:sz w:val="18"/>
          <w:szCs w:val="18"/>
        </w:rPr>
      </w:pPr>
      <w:r w:rsidRPr="000805FC">
        <w:rPr>
          <w:rFonts w:ascii="微软雅黑" w:eastAsia="微软雅黑" w:hAnsi="微软雅黑" w:cs="宋体" w:hint="eastAsia"/>
          <w:color w:val="515151"/>
          <w:kern w:val="0"/>
          <w:sz w:val="18"/>
          <w:szCs w:val="18"/>
        </w:rPr>
        <w:t>版权所有：中国证券监督管理委员会 京ICP备 05035542号</w:t>
      </w:r>
    </w:p>
    <w:p w:rsidR="000805FC" w:rsidRPr="000805FC" w:rsidRDefault="000805FC" w:rsidP="000805FC">
      <w:pPr>
        <w:widowControl/>
        <w:jc w:val="center"/>
        <w:rPr>
          <w:rFonts w:ascii="微软雅黑" w:eastAsia="微软雅黑" w:hAnsi="微软雅黑" w:cs="宋体" w:hint="eastAsia"/>
          <w:color w:val="515151"/>
          <w:kern w:val="0"/>
          <w:sz w:val="18"/>
          <w:szCs w:val="18"/>
        </w:rPr>
      </w:pPr>
      <w:r w:rsidRPr="000805FC">
        <w:rPr>
          <w:rFonts w:ascii="微软雅黑" w:eastAsia="微软雅黑" w:hAnsi="微软雅黑" w:cs="宋体" w:hint="eastAsia"/>
          <w:color w:val="515151"/>
          <w:kern w:val="0"/>
          <w:sz w:val="18"/>
          <w:szCs w:val="18"/>
        </w:rPr>
        <w:t>地址：北京市西城区金融大街19号富凯大厦A座 邮编：100033</w:t>
      </w:r>
    </w:p>
    <w:p w:rsidR="000805FC" w:rsidRPr="000805FC" w:rsidRDefault="000805FC" w:rsidP="000805FC">
      <w:pPr>
        <w:widowControl/>
        <w:jc w:val="center"/>
        <w:rPr>
          <w:rFonts w:ascii="微软雅黑" w:eastAsia="微软雅黑" w:hAnsi="微软雅黑" w:cs="宋体" w:hint="eastAsia"/>
          <w:color w:val="515151"/>
          <w:kern w:val="0"/>
          <w:sz w:val="18"/>
          <w:szCs w:val="18"/>
        </w:rPr>
      </w:pPr>
      <w:r w:rsidRPr="000805FC">
        <w:rPr>
          <w:rFonts w:ascii="微软雅黑" w:eastAsia="微软雅黑" w:hAnsi="微软雅黑" w:cs="宋体" w:hint="eastAsia"/>
          <w:color w:val="515151"/>
          <w:kern w:val="0"/>
          <w:sz w:val="18"/>
          <w:szCs w:val="18"/>
        </w:rPr>
        <w:t>建议使用IE5.5以上浏览器，分辨率1024*768</w:t>
      </w:r>
    </w:p>
    <w:p w:rsidR="00801F9F" w:rsidRPr="000805FC" w:rsidRDefault="00801F9F"/>
    <w:sectPr w:rsidR="00801F9F" w:rsidRPr="00080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FC"/>
    <w:rsid w:val="000805FC"/>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BA5FF-986A-4EDA-AA5A-46707121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05F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805FC"/>
    <w:rPr>
      <w:b/>
      <w:bCs/>
    </w:rPr>
  </w:style>
  <w:style w:type="paragraph" w:customStyle="1" w:styleId="p0">
    <w:name w:val="p0"/>
    <w:basedOn w:val="a"/>
    <w:rsid w:val="000805FC"/>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0805F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05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943011">
      <w:bodyDiv w:val="1"/>
      <w:marLeft w:val="0"/>
      <w:marRight w:val="0"/>
      <w:marTop w:val="0"/>
      <w:marBottom w:val="0"/>
      <w:divBdr>
        <w:top w:val="none" w:sz="0" w:space="0" w:color="auto"/>
        <w:left w:val="none" w:sz="0" w:space="0" w:color="auto"/>
        <w:bottom w:val="none" w:sz="0" w:space="0" w:color="auto"/>
        <w:right w:val="none" w:sz="0" w:space="0" w:color="auto"/>
      </w:divBdr>
      <w:divsChild>
        <w:div w:id="1200051305">
          <w:marLeft w:val="0"/>
          <w:marRight w:val="0"/>
          <w:marTop w:val="150"/>
          <w:marBottom w:val="150"/>
          <w:divBdr>
            <w:top w:val="none" w:sz="0" w:space="0" w:color="auto"/>
            <w:left w:val="none" w:sz="0" w:space="0" w:color="auto"/>
            <w:bottom w:val="none" w:sz="0" w:space="0" w:color="auto"/>
            <w:right w:val="none" w:sz="0" w:space="0" w:color="auto"/>
          </w:divBdr>
        </w:div>
        <w:div w:id="454257575">
          <w:marLeft w:val="0"/>
          <w:marRight w:val="0"/>
          <w:marTop w:val="0"/>
          <w:marBottom w:val="0"/>
          <w:divBdr>
            <w:top w:val="single" w:sz="6" w:space="8" w:color="B5B5B5"/>
            <w:left w:val="single" w:sz="6" w:space="0" w:color="B5B5B5"/>
            <w:bottom w:val="single" w:sz="6" w:space="8" w:color="B5B5B5"/>
            <w:right w:val="single" w:sz="6" w:space="0" w:color="B5B5B5"/>
          </w:divBdr>
          <w:divsChild>
            <w:div w:id="1319531507">
              <w:marLeft w:val="0"/>
              <w:marRight w:val="0"/>
              <w:marTop w:val="0"/>
              <w:marBottom w:val="0"/>
              <w:divBdr>
                <w:top w:val="none" w:sz="0" w:space="0" w:color="auto"/>
                <w:left w:val="none" w:sz="0" w:space="0" w:color="auto"/>
                <w:bottom w:val="none" w:sz="0" w:space="0" w:color="auto"/>
                <w:right w:val="none" w:sz="0" w:space="0" w:color="auto"/>
              </w:divBdr>
            </w:div>
            <w:div w:id="1411460288">
              <w:marLeft w:val="0"/>
              <w:marRight w:val="0"/>
              <w:marTop w:val="0"/>
              <w:marBottom w:val="0"/>
              <w:divBdr>
                <w:top w:val="none" w:sz="0" w:space="0" w:color="auto"/>
                <w:left w:val="none" w:sz="0" w:space="0" w:color="auto"/>
                <w:bottom w:val="none" w:sz="0" w:space="0" w:color="auto"/>
                <w:right w:val="none" w:sz="0" w:space="0" w:color="auto"/>
              </w:divBdr>
            </w:div>
            <w:div w:id="761801715">
              <w:marLeft w:val="0"/>
              <w:marRight w:val="0"/>
              <w:marTop w:val="120"/>
              <w:marBottom w:val="120"/>
              <w:divBdr>
                <w:top w:val="none" w:sz="0" w:space="0" w:color="auto"/>
                <w:left w:val="none" w:sz="0" w:space="0" w:color="auto"/>
                <w:bottom w:val="none" w:sz="0" w:space="0" w:color="auto"/>
                <w:right w:val="none" w:sz="0" w:space="0" w:color="auto"/>
              </w:divBdr>
            </w:div>
          </w:divsChild>
        </w:div>
        <w:div w:id="86116031">
          <w:marLeft w:val="0"/>
          <w:marRight w:val="0"/>
          <w:marTop w:val="120"/>
          <w:marBottom w:val="0"/>
          <w:divBdr>
            <w:top w:val="none" w:sz="0" w:space="0" w:color="auto"/>
            <w:left w:val="none" w:sz="0" w:space="0" w:color="auto"/>
            <w:bottom w:val="none" w:sz="0" w:space="0" w:color="auto"/>
            <w:right w:val="none" w:sz="0" w:space="0" w:color="auto"/>
          </w:divBdr>
          <w:divsChild>
            <w:div w:id="439765234">
              <w:marLeft w:val="0"/>
              <w:marRight w:val="0"/>
              <w:marTop w:val="60"/>
              <w:marBottom w:val="0"/>
              <w:divBdr>
                <w:top w:val="none" w:sz="0" w:space="0" w:color="auto"/>
                <w:left w:val="none" w:sz="0" w:space="0" w:color="auto"/>
                <w:bottom w:val="none" w:sz="0" w:space="0" w:color="auto"/>
                <w:right w:val="none" w:sz="0" w:space="0" w:color="auto"/>
              </w:divBdr>
            </w:div>
            <w:div w:id="43219177">
              <w:marLeft w:val="0"/>
              <w:marRight w:val="0"/>
              <w:marTop w:val="60"/>
              <w:marBottom w:val="0"/>
              <w:divBdr>
                <w:top w:val="none" w:sz="0" w:space="0" w:color="auto"/>
                <w:left w:val="none" w:sz="0" w:space="0" w:color="auto"/>
                <w:bottom w:val="none" w:sz="0" w:space="0" w:color="auto"/>
                <w:right w:val="none" w:sz="0" w:space="0" w:color="auto"/>
              </w:divBdr>
            </w:div>
            <w:div w:id="643848503">
              <w:marLeft w:val="0"/>
              <w:marRight w:val="0"/>
              <w:marTop w:val="60"/>
              <w:marBottom w:val="0"/>
              <w:divBdr>
                <w:top w:val="none" w:sz="0" w:space="0" w:color="auto"/>
                <w:left w:val="none" w:sz="0" w:space="0" w:color="auto"/>
                <w:bottom w:val="none" w:sz="0" w:space="0" w:color="auto"/>
                <w:right w:val="none" w:sz="0" w:space="0" w:color="auto"/>
              </w:divBdr>
            </w:div>
            <w:div w:id="11381094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3/t20170320_31384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2020-02-17T14:27:00Z</dcterms:created>
  <dcterms:modified xsi:type="dcterms:W3CDTF">2020-02-17T14:27:00Z</dcterms:modified>
</cp:coreProperties>
</file>