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4573" w:rsidRPr="00E54573" w:rsidRDefault="00E54573" w:rsidP="00E54573">
      <w:pPr>
        <w:widowControl/>
        <w:jc w:val="center"/>
        <w:rPr>
          <w:rFonts w:ascii="微软雅黑" w:eastAsia="微软雅黑" w:hAnsi="微软雅黑" w:cs="宋体"/>
          <w:color w:val="000000"/>
          <w:kern w:val="0"/>
          <w:sz w:val="18"/>
          <w:szCs w:val="18"/>
        </w:rPr>
      </w:pPr>
      <w:r w:rsidRPr="00E54573">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E54573" w:rsidRPr="00E54573" w:rsidTr="00E54573">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54573" w:rsidRPr="00E54573">
              <w:trPr>
                <w:tblCellSpacing w:w="0" w:type="dxa"/>
              </w:trPr>
              <w:tc>
                <w:tcPr>
                  <w:tcW w:w="2500" w:type="pct"/>
                  <w:tcMar>
                    <w:top w:w="30" w:type="dxa"/>
                    <w:left w:w="30" w:type="dxa"/>
                    <w:bottom w:w="30" w:type="dxa"/>
                    <w:right w:w="30" w:type="dxa"/>
                  </w:tcMar>
                  <w:hideMark/>
                </w:tcPr>
                <w:p w:rsidR="00E54573" w:rsidRPr="00E54573" w:rsidRDefault="00E54573" w:rsidP="00E54573">
                  <w:pPr>
                    <w:widowControl/>
                    <w:jc w:val="left"/>
                    <w:rPr>
                      <w:rFonts w:ascii="宋体" w:eastAsia="宋体" w:hAnsi="宋体" w:cs="宋体" w:hint="eastAsia"/>
                      <w:color w:val="686868"/>
                      <w:kern w:val="0"/>
                      <w:sz w:val="18"/>
                      <w:szCs w:val="18"/>
                    </w:rPr>
                  </w:pPr>
                  <w:r w:rsidRPr="00E54573">
                    <w:rPr>
                      <w:rFonts w:ascii="宋体" w:eastAsia="宋体" w:hAnsi="宋体" w:cs="宋体"/>
                      <w:b/>
                      <w:bCs/>
                      <w:color w:val="686868"/>
                      <w:kern w:val="0"/>
                      <w:sz w:val="18"/>
                      <w:szCs w:val="18"/>
                    </w:rPr>
                    <w:t>索 引 号:</w:t>
                  </w:r>
                  <w:r w:rsidRPr="00E54573">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E54573" w:rsidRPr="00E54573" w:rsidRDefault="00E54573" w:rsidP="00E54573">
                  <w:pPr>
                    <w:widowControl/>
                    <w:jc w:val="left"/>
                    <w:rPr>
                      <w:rFonts w:ascii="宋体" w:eastAsia="宋体" w:hAnsi="宋体" w:cs="宋体"/>
                      <w:color w:val="686868"/>
                      <w:kern w:val="0"/>
                      <w:sz w:val="18"/>
                      <w:szCs w:val="18"/>
                    </w:rPr>
                  </w:pPr>
                  <w:r w:rsidRPr="00E54573">
                    <w:rPr>
                      <w:rFonts w:ascii="宋体" w:eastAsia="宋体" w:hAnsi="宋体" w:cs="宋体"/>
                      <w:b/>
                      <w:bCs/>
                      <w:color w:val="686868"/>
                      <w:kern w:val="0"/>
                      <w:sz w:val="18"/>
                      <w:szCs w:val="18"/>
                    </w:rPr>
                    <w:t>分类:</w:t>
                  </w:r>
                  <w:r w:rsidRPr="00E54573">
                    <w:rPr>
                      <w:rFonts w:ascii="宋体" w:eastAsia="宋体" w:hAnsi="宋体" w:cs="宋体"/>
                      <w:color w:val="686868"/>
                      <w:kern w:val="0"/>
                      <w:sz w:val="18"/>
                      <w:szCs w:val="18"/>
                    </w:rPr>
                    <w:t> 行政处罚 ; 行政处罚决定</w:t>
                  </w:r>
                </w:p>
              </w:tc>
            </w:tr>
          </w:tbl>
          <w:p w:rsidR="00E54573" w:rsidRPr="00E54573" w:rsidRDefault="00E54573" w:rsidP="00E54573">
            <w:pPr>
              <w:widowControl/>
              <w:jc w:val="left"/>
              <w:rPr>
                <w:rFonts w:ascii="宋体" w:eastAsia="宋体" w:hAnsi="宋体" w:cs="宋体"/>
                <w:color w:val="686868"/>
                <w:kern w:val="0"/>
                <w:sz w:val="18"/>
                <w:szCs w:val="18"/>
              </w:rPr>
            </w:pPr>
          </w:p>
        </w:tc>
      </w:tr>
      <w:tr w:rsidR="00E54573" w:rsidRPr="00E54573" w:rsidTr="00E54573">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54573" w:rsidRPr="00E54573">
              <w:trPr>
                <w:tblCellSpacing w:w="0" w:type="dxa"/>
              </w:trPr>
              <w:tc>
                <w:tcPr>
                  <w:tcW w:w="2500" w:type="pct"/>
                  <w:tcMar>
                    <w:top w:w="30" w:type="dxa"/>
                    <w:left w:w="30" w:type="dxa"/>
                    <w:bottom w:w="30" w:type="dxa"/>
                    <w:right w:w="30" w:type="dxa"/>
                  </w:tcMar>
                  <w:hideMark/>
                </w:tcPr>
                <w:p w:rsidR="00E54573" w:rsidRPr="00E54573" w:rsidRDefault="00E54573" w:rsidP="00E54573">
                  <w:pPr>
                    <w:widowControl/>
                    <w:jc w:val="left"/>
                    <w:rPr>
                      <w:rFonts w:ascii="宋体" w:eastAsia="宋体" w:hAnsi="宋体" w:cs="宋体"/>
                      <w:color w:val="686868"/>
                      <w:kern w:val="0"/>
                      <w:sz w:val="18"/>
                      <w:szCs w:val="18"/>
                    </w:rPr>
                  </w:pPr>
                  <w:r w:rsidRPr="00E54573">
                    <w:rPr>
                      <w:rFonts w:ascii="宋体" w:eastAsia="宋体" w:hAnsi="宋体" w:cs="宋体"/>
                      <w:b/>
                      <w:bCs/>
                      <w:color w:val="686868"/>
                      <w:kern w:val="0"/>
                      <w:sz w:val="18"/>
                      <w:szCs w:val="18"/>
                    </w:rPr>
                    <w:t>发布机构:</w:t>
                  </w:r>
                  <w:r w:rsidRPr="00E54573">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E54573" w:rsidRPr="00E54573" w:rsidRDefault="00E54573" w:rsidP="00E54573">
                  <w:pPr>
                    <w:widowControl/>
                    <w:jc w:val="left"/>
                    <w:rPr>
                      <w:rFonts w:ascii="宋体" w:eastAsia="宋体" w:hAnsi="宋体" w:cs="宋体"/>
                      <w:color w:val="686868"/>
                      <w:kern w:val="0"/>
                      <w:sz w:val="18"/>
                      <w:szCs w:val="18"/>
                    </w:rPr>
                  </w:pPr>
                  <w:r w:rsidRPr="00E54573">
                    <w:rPr>
                      <w:rFonts w:ascii="宋体" w:eastAsia="宋体" w:hAnsi="宋体" w:cs="宋体"/>
                      <w:b/>
                      <w:bCs/>
                      <w:color w:val="686868"/>
                      <w:kern w:val="0"/>
                      <w:sz w:val="18"/>
                      <w:szCs w:val="18"/>
                    </w:rPr>
                    <w:t>发文日期:</w:t>
                  </w:r>
                  <w:r w:rsidRPr="00E54573">
                    <w:rPr>
                      <w:rFonts w:ascii="宋体" w:eastAsia="宋体" w:hAnsi="宋体" w:cs="宋体"/>
                      <w:color w:val="686868"/>
                      <w:kern w:val="0"/>
                      <w:sz w:val="18"/>
                      <w:szCs w:val="18"/>
                    </w:rPr>
                    <w:t> 2017年05月31日</w:t>
                  </w:r>
                </w:p>
              </w:tc>
            </w:tr>
          </w:tbl>
          <w:p w:rsidR="00E54573" w:rsidRPr="00E54573" w:rsidRDefault="00E54573" w:rsidP="00E54573">
            <w:pPr>
              <w:widowControl/>
              <w:jc w:val="left"/>
              <w:rPr>
                <w:rFonts w:ascii="宋体" w:eastAsia="宋体" w:hAnsi="宋体" w:cs="宋体"/>
                <w:color w:val="686868"/>
                <w:kern w:val="0"/>
                <w:sz w:val="18"/>
                <w:szCs w:val="18"/>
              </w:rPr>
            </w:pPr>
          </w:p>
        </w:tc>
      </w:tr>
      <w:tr w:rsidR="00E54573" w:rsidRPr="00E54573" w:rsidTr="00E54573">
        <w:trPr>
          <w:tblCellSpacing w:w="0" w:type="dxa"/>
          <w:jc w:val="center"/>
        </w:trPr>
        <w:tc>
          <w:tcPr>
            <w:tcW w:w="0" w:type="auto"/>
            <w:tcMar>
              <w:top w:w="30" w:type="dxa"/>
              <w:left w:w="30" w:type="dxa"/>
              <w:bottom w:w="30" w:type="dxa"/>
              <w:right w:w="30" w:type="dxa"/>
            </w:tcMar>
            <w:hideMark/>
          </w:tcPr>
          <w:p w:rsidR="00E54573" w:rsidRPr="00E54573" w:rsidRDefault="00E54573" w:rsidP="00E54573">
            <w:pPr>
              <w:widowControl/>
              <w:jc w:val="left"/>
              <w:rPr>
                <w:rFonts w:ascii="宋体" w:eastAsia="宋体" w:hAnsi="宋体" w:cs="宋体"/>
                <w:color w:val="686868"/>
                <w:kern w:val="0"/>
                <w:sz w:val="18"/>
                <w:szCs w:val="18"/>
              </w:rPr>
            </w:pPr>
            <w:r w:rsidRPr="00E54573">
              <w:rPr>
                <w:rFonts w:ascii="宋体" w:eastAsia="宋体" w:hAnsi="宋体" w:cs="宋体"/>
                <w:b/>
                <w:bCs/>
                <w:color w:val="686868"/>
                <w:kern w:val="0"/>
                <w:sz w:val="18"/>
                <w:szCs w:val="18"/>
              </w:rPr>
              <w:t>名　　称:</w:t>
            </w:r>
            <w:r w:rsidRPr="00E54573">
              <w:rPr>
                <w:rFonts w:ascii="宋体" w:eastAsia="宋体" w:hAnsi="宋体" w:cs="宋体"/>
                <w:color w:val="686868"/>
                <w:kern w:val="0"/>
                <w:sz w:val="18"/>
                <w:szCs w:val="18"/>
              </w:rPr>
              <w:t> 中国证监会行政处罚决定书（刘国武）</w:t>
            </w:r>
          </w:p>
        </w:tc>
      </w:tr>
      <w:tr w:rsidR="00E54573" w:rsidRPr="00E54573" w:rsidTr="00E54573">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54573" w:rsidRPr="00E54573">
              <w:trPr>
                <w:tblCellSpacing w:w="0" w:type="dxa"/>
              </w:trPr>
              <w:tc>
                <w:tcPr>
                  <w:tcW w:w="2500" w:type="pct"/>
                  <w:tcMar>
                    <w:top w:w="30" w:type="dxa"/>
                    <w:left w:w="30" w:type="dxa"/>
                    <w:bottom w:w="30" w:type="dxa"/>
                    <w:right w:w="30" w:type="dxa"/>
                  </w:tcMar>
                  <w:hideMark/>
                </w:tcPr>
                <w:p w:rsidR="00E54573" w:rsidRPr="00E54573" w:rsidRDefault="00E54573" w:rsidP="00E54573">
                  <w:pPr>
                    <w:widowControl/>
                    <w:jc w:val="left"/>
                    <w:rPr>
                      <w:rFonts w:ascii="宋体" w:eastAsia="宋体" w:hAnsi="宋体" w:cs="宋体"/>
                      <w:color w:val="686868"/>
                      <w:kern w:val="0"/>
                      <w:sz w:val="18"/>
                      <w:szCs w:val="18"/>
                    </w:rPr>
                  </w:pPr>
                  <w:r w:rsidRPr="00E54573">
                    <w:rPr>
                      <w:rFonts w:ascii="宋体" w:eastAsia="宋体" w:hAnsi="宋体" w:cs="宋体"/>
                      <w:b/>
                      <w:bCs/>
                      <w:color w:val="686868"/>
                      <w:kern w:val="0"/>
                      <w:sz w:val="18"/>
                      <w:szCs w:val="18"/>
                    </w:rPr>
                    <w:t>文　　号:</w:t>
                  </w:r>
                  <w:r w:rsidRPr="00E54573">
                    <w:rPr>
                      <w:rFonts w:ascii="宋体" w:eastAsia="宋体" w:hAnsi="宋体" w:cs="宋体"/>
                      <w:color w:val="686868"/>
                      <w:kern w:val="0"/>
                      <w:sz w:val="18"/>
                      <w:szCs w:val="18"/>
                    </w:rPr>
                    <w:t> </w:t>
                  </w:r>
                  <w:bookmarkStart w:id="0" w:name="_GoBack"/>
                  <w:r w:rsidRPr="00E54573">
                    <w:rPr>
                      <w:rFonts w:ascii="宋体" w:eastAsia="宋体" w:hAnsi="宋体" w:cs="宋体"/>
                      <w:color w:val="686868"/>
                      <w:kern w:val="0"/>
                      <w:sz w:val="18"/>
                      <w:szCs w:val="18"/>
                    </w:rPr>
                    <w:t>〔2017〕59号</w:t>
                  </w:r>
                  <w:bookmarkEnd w:id="0"/>
                </w:p>
              </w:tc>
              <w:tc>
                <w:tcPr>
                  <w:tcW w:w="0" w:type="auto"/>
                  <w:tcMar>
                    <w:top w:w="30" w:type="dxa"/>
                    <w:left w:w="30" w:type="dxa"/>
                    <w:bottom w:w="30" w:type="dxa"/>
                    <w:right w:w="30" w:type="dxa"/>
                  </w:tcMar>
                  <w:hideMark/>
                </w:tcPr>
                <w:p w:rsidR="00E54573" w:rsidRPr="00E54573" w:rsidRDefault="00E54573" w:rsidP="00E54573">
                  <w:pPr>
                    <w:widowControl/>
                    <w:jc w:val="left"/>
                    <w:rPr>
                      <w:rFonts w:ascii="宋体" w:eastAsia="宋体" w:hAnsi="宋体" w:cs="宋体"/>
                      <w:color w:val="686868"/>
                      <w:kern w:val="0"/>
                      <w:sz w:val="18"/>
                      <w:szCs w:val="18"/>
                    </w:rPr>
                  </w:pPr>
                  <w:r w:rsidRPr="00E54573">
                    <w:rPr>
                      <w:rFonts w:ascii="宋体" w:eastAsia="宋体" w:hAnsi="宋体" w:cs="宋体"/>
                      <w:b/>
                      <w:bCs/>
                      <w:color w:val="686868"/>
                      <w:kern w:val="0"/>
                      <w:sz w:val="18"/>
                      <w:szCs w:val="18"/>
                    </w:rPr>
                    <w:t>主 题 词:</w:t>
                  </w:r>
                </w:p>
              </w:tc>
            </w:tr>
          </w:tbl>
          <w:p w:rsidR="00E54573" w:rsidRPr="00E54573" w:rsidRDefault="00E54573" w:rsidP="00E54573">
            <w:pPr>
              <w:widowControl/>
              <w:jc w:val="left"/>
              <w:rPr>
                <w:rFonts w:ascii="宋体" w:eastAsia="宋体" w:hAnsi="宋体" w:cs="宋体"/>
                <w:color w:val="686868"/>
                <w:kern w:val="0"/>
                <w:sz w:val="18"/>
                <w:szCs w:val="18"/>
              </w:rPr>
            </w:pPr>
          </w:p>
        </w:tc>
      </w:tr>
    </w:tbl>
    <w:p w:rsidR="00E54573" w:rsidRPr="00E54573" w:rsidRDefault="00E54573" w:rsidP="00E54573">
      <w:pPr>
        <w:widowControl/>
        <w:jc w:val="center"/>
        <w:rPr>
          <w:rFonts w:ascii="微软雅黑" w:eastAsia="微软雅黑" w:hAnsi="微软雅黑" w:cs="宋体"/>
          <w:color w:val="000000"/>
          <w:kern w:val="0"/>
          <w:sz w:val="18"/>
          <w:szCs w:val="18"/>
        </w:rPr>
      </w:pPr>
      <w:r w:rsidRPr="00E54573">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E54573" w:rsidRPr="00E54573" w:rsidRDefault="00E54573" w:rsidP="00E54573">
      <w:pPr>
        <w:widowControl/>
        <w:shd w:val="clear" w:color="auto" w:fill="FFFFFF"/>
        <w:spacing w:after="240"/>
        <w:jc w:val="center"/>
        <w:rPr>
          <w:rFonts w:ascii="微软雅黑" w:eastAsia="微软雅黑" w:hAnsi="微软雅黑" w:cs="宋体" w:hint="eastAsia"/>
          <w:color w:val="000000"/>
          <w:kern w:val="0"/>
          <w:sz w:val="18"/>
          <w:szCs w:val="18"/>
        </w:rPr>
      </w:pPr>
      <w:r w:rsidRPr="00E54573">
        <w:rPr>
          <w:rFonts w:ascii="微软雅黑" w:eastAsia="微软雅黑" w:hAnsi="微软雅黑" w:cs="宋体" w:hint="eastAsia"/>
          <w:color w:val="000000"/>
          <w:kern w:val="0"/>
          <w:sz w:val="18"/>
          <w:szCs w:val="18"/>
        </w:rPr>
        <w:br/>
      </w:r>
      <w:r w:rsidRPr="00E54573">
        <w:rPr>
          <w:rFonts w:ascii="黑体" w:eastAsia="黑体" w:hAnsi="黑体" w:cs="宋体" w:hint="eastAsia"/>
          <w:b/>
          <w:bCs/>
          <w:color w:val="FF0000"/>
          <w:kern w:val="0"/>
          <w:sz w:val="36"/>
          <w:szCs w:val="36"/>
        </w:rPr>
        <w:t>中国证监会行政处罚决定书（刘国武）</w:t>
      </w:r>
    </w:p>
    <w:p w:rsidR="00E54573" w:rsidRPr="00E54573" w:rsidRDefault="00E54573" w:rsidP="00E54573">
      <w:pPr>
        <w:widowControl/>
        <w:shd w:val="clear" w:color="auto" w:fill="FFFFFF"/>
        <w:spacing w:line="360" w:lineRule="atLeast"/>
        <w:jc w:val="center"/>
        <w:rPr>
          <w:rFonts w:ascii="楷体" w:eastAsia="楷体" w:hAnsi="楷体" w:cs="宋体" w:hint="eastAsia"/>
          <w:color w:val="000000"/>
          <w:kern w:val="0"/>
          <w:sz w:val="24"/>
          <w:szCs w:val="24"/>
        </w:rPr>
      </w:pPr>
      <w:r w:rsidRPr="00E54573">
        <w:rPr>
          <w:rFonts w:ascii="宋体" w:eastAsia="宋体" w:hAnsi="宋体" w:cs="宋体" w:hint="eastAsia"/>
          <w:color w:val="000000"/>
          <w:kern w:val="0"/>
          <w:szCs w:val="21"/>
        </w:rPr>
        <w:t>〔2017〕59号</w:t>
      </w:r>
    </w:p>
    <w:p w:rsidR="00E54573" w:rsidRPr="00E54573" w:rsidRDefault="00E54573" w:rsidP="00E54573">
      <w:pPr>
        <w:widowControl/>
        <w:shd w:val="clear" w:color="auto" w:fill="FFFFFF"/>
        <w:spacing w:line="360" w:lineRule="atLeast"/>
        <w:rPr>
          <w:rFonts w:ascii="楷体" w:eastAsia="楷体" w:hAnsi="楷体" w:cs="宋体" w:hint="eastAsia"/>
          <w:color w:val="000000"/>
          <w:kern w:val="0"/>
          <w:sz w:val="24"/>
          <w:szCs w:val="24"/>
        </w:rPr>
      </w:pPr>
      <w:r w:rsidRPr="00E54573">
        <w:rPr>
          <w:rFonts w:ascii="宋体" w:eastAsia="宋体" w:hAnsi="宋体" w:cs="宋体" w:hint="eastAsia"/>
          <w:color w:val="000000"/>
          <w:kern w:val="0"/>
          <w:szCs w:val="21"/>
        </w:rPr>
        <w:t> </w:t>
      </w:r>
    </w:p>
    <w:p w:rsidR="00E54573" w:rsidRPr="00E54573" w:rsidRDefault="00E54573" w:rsidP="00E54573">
      <w:pPr>
        <w:widowControl/>
        <w:shd w:val="clear" w:color="auto" w:fill="FFFFFF"/>
        <w:spacing w:line="360" w:lineRule="atLeast"/>
        <w:ind w:firstLine="420"/>
        <w:rPr>
          <w:rFonts w:ascii="楷体" w:eastAsia="楷体" w:hAnsi="楷体" w:cs="宋体" w:hint="eastAsia"/>
          <w:color w:val="000000"/>
          <w:kern w:val="0"/>
          <w:sz w:val="24"/>
          <w:szCs w:val="24"/>
        </w:rPr>
      </w:pPr>
      <w:r w:rsidRPr="00E54573">
        <w:rPr>
          <w:rFonts w:ascii="宋体" w:eastAsia="宋体" w:hAnsi="宋体" w:cs="宋体" w:hint="eastAsia"/>
          <w:color w:val="000000"/>
          <w:kern w:val="0"/>
          <w:szCs w:val="21"/>
        </w:rPr>
        <w:t>当事人：刘国武，男，1968年7月出生，住址：山东省蓬莱市。</w:t>
      </w:r>
    </w:p>
    <w:p w:rsidR="00E54573" w:rsidRPr="00E54573" w:rsidRDefault="00E54573" w:rsidP="00E54573">
      <w:pPr>
        <w:widowControl/>
        <w:shd w:val="clear" w:color="auto" w:fill="FFFFFF"/>
        <w:spacing w:line="360" w:lineRule="atLeast"/>
        <w:ind w:firstLine="420"/>
        <w:rPr>
          <w:rFonts w:ascii="楷体" w:eastAsia="楷体" w:hAnsi="楷体" w:cs="宋体" w:hint="eastAsia"/>
          <w:color w:val="000000"/>
          <w:kern w:val="0"/>
          <w:sz w:val="24"/>
          <w:szCs w:val="24"/>
        </w:rPr>
      </w:pPr>
      <w:r w:rsidRPr="00E54573">
        <w:rPr>
          <w:rFonts w:ascii="宋体" w:eastAsia="宋体" w:hAnsi="宋体" w:cs="宋体" w:hint="eastAsia"/>
          <w:color w:val="000000"/>
          <w:kern w:val="0"/>
          <w:szCs w:val="21"/>
        </w:rPr>
        <w:t>依据《中华人民共和国证券法》（以下简称《证券法》）的有关规定，我会对刘国武内幕交易行为进行了立案调查、审理，依法向当事人告知了</w:t>
      </w:r>
      <w:proofErr w:type="gramStart"/>
      <w:r w:rsidRPr="00E54573">
        <w:rPr>
          <w:rFonts w:ascii="宋体" w:eastAsia="宋体" w:hAnsi="宋体" w:cs="宋体" w:hint="eastAsia"/>
          <w:color w:val="000000"/>
          <w:kern w:val="0"/>
          <w:szCs w:val="21"/>
        </w:rPr>
        <w:t>作出</w:t>
      </w:r>
      <w:proofErr w:type="gramEnd"/>
      <w:r w:rsidRPr="00E54573">
        <w:rPr>
          <w:rFonts w:ascii="宋体" w:eastAsia="宋体" w:hAnsi="宋体" w:cs="宋体" w:hint="eastAsia"/>
          <w:color w:val="000000"/>
          <w:kern w:val="0"/>
          <w:szCs w:val="21"/>
        </w:rPr>
        <w:t>行政处罚的事实、理由、依据及当事人依法享有的权利。当事人未陈述、申辩，也未要求听证。本案现已调查、审理终结。</w:t>
      </w:r>
    </w:p>
    <w:p w:rsidR="00E54573" w:rsidRPr="00E54573" w:rsidRDefault="00E54573" w:rsidP="00E54573">
      <w:pPr>
        <w:widowControl/>
        <w:shd w:val="clear" w:color="auto" w:fill="FFFFFF"/>
        <w:spacing w:line="360" w:lineRule="atLeast"/>
        <w:ind w:firstLine="420"/>
        <w:rPr>
          <w:rFonts w:ascii="楷体" w:eastAsia="楷体" w:hAnsi="楷体" w:cs="宋体" w:hint="eastAsia"/>
          <w:color w:val="000000"/>
          <w:kern w:val="0"/>
          <w:sz w:val="24"/>
          <w:szCs w:val="24"/>
        </w:rPr>
      </w:pPr>
      <w:r w:rsidRPr="00E54573">
        <w:rPr>
          <w:rFonts w:ascii="宋体" w:eastAsia="宋体" w:hAnsi="宋体" w:cs="宋体" w:hint="eastAsia"/>
          <w:color w:val="000000"/>
          <w:kern w:val="0"/>
          <w:szCs w:val="21"/>
        </w:rPr>
        <w:t>经查明，当事人存在以下违法事实：</w:t>
      </w:r>
    </w:p>
    <w:p w:rsidR="00E54573" w:rsidRPr="00E54573" w:rsidRDefault="00E54573" w:rsidP="00E54573">
      <w:pPr>
        <w:widowControl/>
        <w:shd w:val="clear" w:color="auto" w:fill="FFFFFF"/>
        <w:spacing w:line="360" w:lineRule="atLeast"/>
        <w:ind w:firstLine="420"/>
        <w:rPr>
          <w:rFonts w:ascii="楷体" w:eastAsia="楷体" w:hAnsi="楷体" w:cs="宋体" w:hint="eastAsia"/>
          <w:color w:val="000000"/>
          <w:kern w:val="0"/>
          <w:sz w:val="24"/>
          <w:szCs w:val="24"/>
        </w:rPr>
      </w:pPr>
      <w:r w:rsidRPr="00E54573">
        <w:rPr>
          <w:rFonts w:ascii="宋体" w:eastAsia="宋体" w:hAnsi="宋体" w:cs="宋体" w:hint="eastAsia"/>
          <w:color w:val="000000"/>
          <w:kern w:val="0"/>
          <w:szCs w:val="21"/>
        </w:rPr>
        <w:t>一、内幕信息的形成和公开过程</w:t>
      </w:r>
    </w:p>
    <w:p w:rsidR="00E54573" w:rsidRPr="00E54573" w:rsidRDefault="00E54573" w:rsidP="00E54573">
      <w:pPr>
        <w:widowControl/>
        <w:shd w:val="clear" w:color="auto" w:fill="FFFFFF"/>
        <w:spacing w:line="360" w:lineRule="atLeast"/>
        <w:ind w:firstLine="420"/>
        <w:rPr>
          <w:rFonts w:ascii="楷体" w:eastAsia="楷体" w:hAnsi="楷体" w:cs="宋体" w:hint="eastAsia"/>
          <w:color w:val="000000"/>
          <w:kern w:val="0"/>
          <w:sz w:val="24"/>
          <w:szCs w:val="24"/>
        </w:rPr>
      </w:pPr>
      <w:r w:rsidRPr="00E54573">
        <w:rPr>
          <w:rFonts w:ascii="宋体" w:eastAsia="宋体" w:hAnsi="宋体" w:cs="宋体" w:hint="eastAsia"/>
          <w:color w:val="000000"/>
          <w:kern w:val="0"/>
          <w:szCs w:val="21"/>
        </w:rPr>
        <w:t>2013年3月15日，北部湾旅游股份有限公司（以下简称北部湾旅）第一届董事会第二十次会议决定授权管理层与</w:t>
      </w:r>
      <w:proofErr w:type="gramStart"/>
      <w:r w:rsidRPr="00E54573">
        <w:rPr>
          <w:rFonts w:ascii="宋体" w:eastAsia="宋体" w:hAnsi="宋体" w:cs="宋体" w:hint="eastAsia"/>
          <w:color w:val="000000"/>
          <w:kern w:val="0"/>
          <w:szCs w:val="21"/>
        </w:rPr>
        <w:t>长岛长通旅运</w:t>
      </w:r>
      <w:proofErr w:type="gramEnd"/>
      <w:r w:rsidRPr="00E54573">
        <w:rPr>
          <w:rFonts w:ascii="宋体" w:eastAsia="宋体" w:hAnsi="宋体" w:cs="宋体" w:hint="eastAsia"/>
          <w:color w:val="000000"/>
          <w:kern w:val="0"/>
          <w:szCs w:val="21"/>
        </w:rPr>
        <w:t>有限公司（以下简称长岛长通）接触洽谈合作事宜。2013年6月，北部湾</w:t>
      </w:r>
      <w:proofErr w:type="gramStart"/>
      <w:r w:rsidRPr="00E54573">
        <w:rPr>
          <w:rFonts w:ascii="宋体" w:eastAsia="宋体" w:hAnsi="宋体" w:cs="宋体" w:hint="eastAsia"/>
          <w:color w:val="000000"/>
          <w:kern w:val="0"/>
          <w:szCs w:val="21"/>
        </w:rPr>
        <w:t>旅成立</w:t>
      </w:r>
      <w:proofErr w:type="gramEnd"/>
      <w:r w:rsidRPr="00E54573">
        <w:rPr>
          <w:rFonts w:ascii="宋体" w:eastAsia="宋体" w:hAnsi="宋体" w:cs="宋体" w:hint="eastAsia"/>
          <w:color w:val="000000"/>
          <w:kern w:val="0"/>
          <w:szCs w:val="21"/>
        </w:rPr>
        <w:t>长岛长通并购工作小组，鞠某林任组长，</w:t>
      </w:r>
      <w:proofErr w:type="gramStart"/>
      <w:r w:rsidRPr="00E54573">
        <w:rPr>
          <w:rFonts w:ascii="宋体" w:eastAsia="宋体" w:hAnsi="宋体" w:cs="宋体" w:hint="eastAsia"/>
          <w:color w:val="000000"/>
          <w:kern w:val="0"/>
          <w:szCs w:val="21"/>
        </w:rPr>
        <w:t>成某明任</w:t>
      </w:r>
      <w:proofErr w:type="gramEnd"/>
      <w:r w:rsidRPr="00E54573">
        <w:rPr>
          <w:rFonts w:ascii="宋体" w:eastAsia="宋体" w:hAnsi="宋体" w:cs="宋体" w:hint="eastAsia"/>
          <w:color w:val="000000"/>
          <w:kern w:val="0"/>
          <w:szCs w:val="21"/>
        </w:rPr>
        <w:t>副组长，刘国武、凌某龙等人配合组长与对方开展谈判。2013年10月28日，双方达成初步收购意向，即</w:t>
      </w:r>
      <w:proofErr w:type="gramStart"/>
      <w:r w:rsidRPr="00E54573">
        <w:rPr>
          <w:rFonts w:ascii="宋体" w:eastAsia="宋体" w:hAnsi="宋体" w:cs="宋体" w:hint="eastAsia"/>
          <w:color w:val="000000"/>
          <w:kern w:val="0"/>
          <w:szCs w:val="21"/>
        </w:rPr>
        <w:t>北部湾旅拟以</w:t>
      </w:r>
      <w:proofErr w:type="gramEnd"/>
      <w:r w:rsidRPr="00E54573">
        <w:rPr>
          <w:rFonts w:ascii="宋体" w:eastAsia="宋体" w:hAnsi="宋体" w:cs="宋体" w:hint="eastAsia"/>
          <w:color w:val="000000"/>
          <w:kern w:val="0"/>
          <w:szCs w:val="21"/>
        </w:rPr>
        <w:t>8,250万元收购长岛长</w:t>
      </w:r>
      <w:proofErr w:type="gramStart"/>
      <w:r w:rsidRPr="00E54573">
        <w:rPr>
          <w:rFonts w:ascii="宋体" w:eastAsia="宋体" w:hAnsi="宋体" w:cs="宋体" w:hint="eastAsia"/>
          <w:color w:val="000000"/>
          <w:kern w:val="0"/>
          <w:szCs w:val="21"/>
        </w:rPr>
        <w:t>通项目</w:t>
      </w:r>
      <w:proofErr w:type="gramEnd"/>
      <w:r w:rsidRPr="00E54573">
        <w:rPr>
          <w:rFonts w:ascii="宋体" w:eastAsia="宋体" w:hAnsi="宋体" w:cs="宋体" w:hint="eastAsia"/>
          <w:color w:val="000000"/>
          <w:kern w:val="0"/>
          <w:szCs w:val="21"/>
        </w:rPr>
        <w:t>公司65%股权。2013年11月至2015年3月期间，北部湾旅与长岛长通围绕合同条款进行多轮谈判，但因未能就具体条款达成一致而未签署协议。</w:t>
      </w:r>
    </w:p>
    <w:p w:rsidR="00E54573" w:rsidRPr="00E54573" w:rsidRDefault="00E54573" w:rsidP="00E54573">
      <w:pPr>
        <w:widowControl/>
        <w:shd w:val="clear" w:color="auto" w:fill="FFFFFF"/>
        <w:spacing w:line="360" w:lineRule="atLeast"/>
        <w:ind w:firstLine="420"/>
        <w:rPr>
          <w:rFonts w:ascii="楷体" w:eastAsia="楷体" w:hAnsi="楷体" w:cs="宋体" w:hint="eastAsia"/>
          <w:color w:val="000000"/>
          <w:kern w:val="0"/>
          <w:sz w:val="24"/>
          <w:szCs w:val="24"/>
        </w:rPr>
      </w:pPr>
      <w:r w:rsidRPr="00E54573">
        <w:rPr>
          <w:rFonts w:ascii="宋体" w:eastAsia="宋体" w:hAnsi="宋体" w:cs="宋体" w:hint="eastAsia"/>
          <w:color w:val="000000"/>
          <w:kern w:val="0"/>
          <w:szCs w:val="21"/>
        </w:rPr>
        <w:t>2015年1月19日，北部湾旅发文正式成立长通公司接收工作小组，主要负责北部湾</w:t>
      </w:r>
      <w:proofErr w:type="gramStart"/>
      <w:r w:rsidRPr="00E54573">
        <w:rPr>
          <w:rFonts w:ascii="宋体" w:eastAsia="宋体" w:hAnsi="宋体" w:cs="宋体" w:hint="eastAsia"/>
          <w:color w:val="000000"/>
          <w:kern w:val="0"/>
          <w:szCs w:val="21"/>
        </w:rPr>
        <w:t>旅收购长岛长通项目</w:t>
      </w:r>
      <w:proofErr w:type="gramEnd"/>
      <w:r w:rsidRPr="00E54573">
        <w:rPr>
          <w:rFonts w:ascii="宋体" w:eastAsia="宋体" w:hAnsi="宋体" w:cs="宋体" w:hint="eastAsia"/>
          <w:color w:val="000000"/>
          <w:kern w:val="0"/>
          <w:szCs w:val="21"/>
        </w:rPr>
        <w:t>公司的可行性分析、洽谈、协议签订等事宜，组长是成某明，组员是刘国武、凌某龙等人，刘国武主要负责与长岛长通的实际控制人黄某璧进行谈判，凌某龙主要负责财务分析。</w:t>
      </w:r>
    </w:p>
    <w:p w:rsidR="00E54573" w:rsidRPr="00E54573" w:rsidRDefault="00E54573" w:rsidP="00E54573">
      <w:pPr>
        <w:widowControl/>
        <w:shd w:val="clear" w:color="auto" w:fill="FFFFFF"/>
        <w:spacing w:line="360" w:lineRule="atLeast"/>
        <w:ind w:firstLine="420"/>
        <w:rPr>
          <w:rFonts w:ascii="楷体" w:eastAsia="楷体" w:hAnsi="楷体" w:cs="宋体" w:hint="eastAsia"/>
          <w:color w:val="000000"/>
          <w:kern w:val="0"/>
          <w:sz w:val="24"/>
          <w:szCs w:val="24"/>
        </w:rPr>
      </w:pPr>
      <w:r w:rsidRPr="00E54573">
        <w:rPr>
          <w:rFonts w:ascii="宋体" w:eastAsia="宋体" w:hAnsi="宋体" w:cs="宋体" w:hint="eastAsia"/>
          <w:color w:val="000000"/>
          <w:kern w:val="0"/>
          <w:szCs w:val="21"/>
        </w:rPr>
        <w:t>2015年4月15日，长岛长通与长通实业（营口）有限公司（长岛长通持股86%，以下简称长通实业）成立长岛渤海长通旅运有限公司（以下简称渤海长通）。长岛长通持股比例为35%，长通实业持股比例为65%。法定代表人王某家，实际控制人黄某璧。由于项目公司的设立模式发生较大变化，双方继续谈判。</w:t>
      </w:r>
    </w:p>
    <w:p w:rsidR="00E54573" w:rsidRPr="00E54573" w:rsidRDefault="00E54573" w:rsidP="00E54573">
      <w:pPr>
        <w:widowControl/>
        <w:shd w:val="clear" w:color="auto" w:fill="FFFFFF"/>
        <w:spacing w:line="360" w:lineRule="atLeast"/>
        <w:ind w:firstLine="420"/>
        <w:rPr>
          <w:rFonts w:ascii="楷体" w:eastAsia="楷体" w:hAnsi="楷体" w:cs="宋体" w:hint="eastAsia"/>
          <w:color w:val="000000"/>
          <w:kern w:val="0"/>
          <w:sz w:val="24"/>
          <w:szCs w:val="24"/>
        </w:rPr>
      </w:pPr>
      <w:r w:rsidRPr="00E54573">
        <w:rPr>
          <w:rFonts w:ascii="宋体" w:eastAsia="宋体" w:hAnsi="宋体" w:cs="宋体" w:hint="eastAsia"/>
          <w:color w:val="000000"/>
          <w:kern w:val="0"/>
          <w:szCs w:val="21"/>
        </w:rPr>
        <w:t>2015年7月1日，刘国武就股权收购事项与黄某璧电话沟通，从而形成2015年7月2日版本的框架协议：长岛长通和长通实业共同投资成立以水路运输为主业的渤海长通，北部</w:t>
      </w:r>
      <w:r w:rsidRPr="00E54573">
        <w:rPr>
          <w:rFonts w:ascii="宋体" w:eastAsia="宋体" w:hAnsi="宋体" w:cs="宋体" w:hint="eastAsia"/>
          <w:color w:val="000000"/>
          <w:kern w:val="0"/>
          <w:szCs w:val="21"/>
        </w:rPr>
        <w:lastRenderedPageBreak/>
        <w:t>湾旅以相应价值的独资子公司的股权与长通实业持有的渤海长通65%股权交换，股权转让价格为8,200万元。</w:t>
      </w:r>
    </w:p>
    <w:p w:rsidR="00E54573" w:rsidRPr="00E54573" w:rsidRDefault="00E54573" w:rsidP="00E54573">
      <w:pPr>
        <w:widowControl/>
        <w:shd w:val="clear" w:color="auto" w:fill="FFFFFF"/>
        <w:spacing w:line="360" w:lineRule="atLeast"/>
        <w:ind w:firstLine="420"/>
        <w:rPr>
          <w:rFonts w:ascii="楷体" w:eastAsia="楷体" w:hAnsi="楷体" w:cs="宋体" w:hint="eastAsia"/>
          <w:color w:val="000000"/>
          <w:kern w:val="0"/>
          <w:sz w:val="24"/>
          <w:szCs w:val="24"/>
        </w:rPr>
      </w:pPr>
      <w:r w:rsidRPr="00E54573">
        <w:rPr>
          <w:rFonts w:ascii="宋体" w:eastAsia="宋体" w:hAnsi="宋体" w:cs="宋体" w:hint="eastAsia"/>
          <w:color w:val="000000"/>
          <w:kern w:val="0"/>
          <w:szCs w:val="21"/>
        </w:rPr>
        <w:t>2015年8月25日至2015年9月10日，就框架协议所涉及的税务负担、分红、合资公司员工工资等问题，成某明、刘国武、凌某龙与黄某璧等人继续谈判。2015年10月9日，成某明、刘国武、凌某龙与黄某璧就收购协议基本达成一致，黄某璧同意在北部湾</w:t>
      </w:r>
      <w:proofErr w:type="gramStart"/>
      <w:r w:rsidRPr="00E54573">
        <w:rPr>
          <w:rFonts w:ascii="宋体" w:eastAsia="宋体" w:hAnsi="宋体" w:cs="宋体" w:hint="eastAsia"/>
          <w:color w:val="000000"/>
          <w:kern w:val="0"/>
          <w:szCs w:val="21"/>
        </w:rPr>
        <w:t>旅支付</w:t>
      </w:r>
      <w:proofErr w:type="gramEnd"/>
      <w:r w:rsidRPr="00E54573">
        <w:rPr>
          <w:rFonts w:ascii="宋体" w:eastAsia="宋体" w:hAnsi="宋体" w:cs="宋体" w:hint="eastAsia"/>
          <w:color w:val="000000"/>
          <w:kern w:val="0"/>
          <w:szCs w:val="21"/>
        </w:rPr>
        <w:t>1,500万元后启动资产过户手续。2015年11月3日，</w:t>
      </w:r>
      <w:proofErr w:type="gramStart"/>
      <w:r w:rsidRPr="00E54573">
        <w:rPr>
          <w:rFonts w:ascii="宋体" w:eastAsia="宋体" w:hAnsi="宋体" w:cs="宋体" w:hint="eastAsia"/>
          <w:color w:val="000000"/>
          <w:kern w:val="0"/>
          <w:szCs w:val="21"/>
        </w:rPr>
        <w:t>北部湾旅向北部湾</w:t>
      </w:r>
      <w:proofErr w:type="gramEnd"/>
      <w:r w:rsidRPr="00E54573">
        <w:rPr>
          <w:rFonts w:ascii="宋体" w:eastAsia="宋体" w:hAnsi="宋体" w:cs="宋体" w:hint="eastAsia"/>
          <w:color w:val="000000"/>
          <w:kern w:val="0"/>
          <w:szCs w:val="21"/>
        </w:rPr>
        <w:t>旅与长通实业共管银行账户转账1,500万元，由长岛长通用于归还银行贷款解除船舶抵押。2015年12月底，长岛长通的船舶过户到渤海长通。2015年12月31日，黄某璧、刘国武、凌某龙三人就双方并购合作过程中的具体操作事宜进行商谈。</w:t>
      </w:r>
    </w:p>
    <w:p w:rsidR="00E54573" w:rsidRPr="00E54573" w:rsidRDefault="00E54573" w:rsidP="00E54573">
      <w:pPr>
        <w:widowControl/>
        <w:shd w:val="clear" w:color="auto" w:fill="FFFFFF"/>
        <w:spacing w:line="360" w:lineRule="atLeast"/>
        <w:ind w:firstLine="420"/>
        <w:rPr>
          <w:rFonts w:ascii="楷体" w:eastAsia="楷体" w:hAnsi="楷体" w:cs="宋体" w:hint="eastAsia"/>
          <w:color w:val="000000"/>
          <w:kern w:val="0"/>
          <w:sz w:val="24"/>
          <w:szCs w:val="24"/>
        </w:rPr>
      </w:pPr>
      <w:r w:rsidRPr="00E54573">
        <w:rPr>
          <w:rFonts w:ascii="宋体" w:eastAsia="宋体" w:hAnsi="宋体" w:cs="宋体" w:hint="eastAsia"/>
          <w:color w:val="000000"/>
          <w:kern w:val="0"/>
          <w:szCs w:val="21"/>
        </w:rPr>
        <w:t>2016年1月19日、22日，北部湾旅先后发布《关于筹划资产收购事项的公告》《关于筹划资产收购事项的补充公告》，称拟以不超过8,200万元收购长通实业持有的渤海长通65%股权。</w:t>
      </w:r>
    </w:p>
    <w:p w:rsidR="00E54573" w:rsidRPr="00E54573" w:rsidRDefault="00E54573" w:rsidP="00E54573">
      <w:pPr>
        <w:widowControl/>
        <w:shd w:val="clear" w:color="auto" w:fill="FFFFFF"/>
        <w:spacing w:line="360" w:lineRule="atLeast"/>
        <w:ind w:firstLine="420"/>
        <w:rPr>
          <w:rFonts w:ascii="楷体" w:eastAsia="楷体" w:hAnsi="楷体" w:cs="宋体" w:hint="eastAsia"/>
          <w:color w:val="000000"/>
          <w:kern w:val="0"/>
          <w:sz w:val="24"/>
          <w:szCs w:val="24"/>
        </w:rPr>
      </w:pPr>
      <w:r w:rsidRPr="00E54573">
        <w:rPr>
          <w:rFonts w:ascii="宋体" w:eastAsia="宋体" w:hAnsi="宋体" w:cs="宋体" w:hint="eastAsia"/>
          <w:color w:val="000000"/>
          <w:kern w:val="0"/>
          <w:szCs w:val="21"/>
        </w:rPr>
        <w:t>我会认为，</w:t>
      </w:r>
      <w:proofErr w:type="gramStart"/>
      <w:r w:rsidRPr="00E54573">
        <w:rPr>
          <w:rFonts w:ascii="宋体" w:eastAsia="宋体" w:hAnsi="宋体" w:cs="宋体" w:hint="eastAsia"/>
          <w:color w:val="000000"/>
          <w:kern w:val="0"/>
          <w:szCs w:val="21"/>
        </w:rPr>
        <w:t>北部湾旅拟收购</w:t>
      </w:r>
      <w:proofErr w:type="gramEnd"/>
      <w:r w:rsidRPr="00E54573">
        <w:rPr>
          <w:rFonts w:ascii="宋体" w:eastAsia="宋体" w:hAnsi="宋体" w:cs="宋体" w:hint="eastAsia"/>
          <w:color w:val="000000"/>
          <w:kern w:val="0"/>
          <w:szCs w:val="21"/>
        </w:rPr>
        <w:t>渤海长通65%股权属于《证券法》第六十七条第二款第（二）项规定的“公司的重大投资行为和重大购置财产的决定”，根据《证券法》第七十五条第一款、第二款第（一）项的规定，公开前属于内幕信息。内幕信息形成时点不晚于2015年7月2日，公开于2016年1月22日。刘国武全程参与合同谈判，了解北部湾</w:t>
      </w:r>
      <w:proofErr w:type="gramStart"/>
      <w:r w:rsidRPr="00E54573">
        <w:rPr>
          <w:rFonts w:ascii="宋体" w:eastAsia="宋体" w:hAnsi="宋体" w:cs="宋体" w:hint="eastAsia"/>
          <w:color w:val="000000"/>
          <w:kern w:val="0"/>
          <w:szCs w:val="21"/>
        </w:rPr>
        <w:t>旅收购</w:t>
      </w:r>
      <w:proofErr w:type="gramEnd"/>
      <w:r w:rsidRPr="00E54573">
        <w:rPr>
          <w:rFonts w:ascii="宋体" w:eastAsia="宋体" w:hAnsi="宋体" w:cs="宋体" w:hint="eastAsia"/>
          <w:color w:val="000000"/>
          <w:kern w:val="0"/>
          <w:szCs w:val="21"/>
        </w:rPr>
        <w:t>渤海长通65%股权事项的具体进展，为内幕信息知情人。</w:t>
      </w:r>
    </w:p>
    <w:p w:rsidR="00E54573" w:rsidRPr="00E54573" w:rsidRDefault="00E54573" w:rsidP="00E54573">
      <w:pPr>
        <w:widowControl/>
        <w:shd w:val="clear" w:color="auto" w:fill="FFFFFF"/>
        <w:spacing w:line="360" w:lineRule="atLeast"/>
        <w:ind w:firstLine="420"/>
        <w:rPr>
          <w:rFonts w:ascii="楷体" w:eastAsia="楷体" w:hAnsi="楷体" w:cs="宋体" w:hint="eastAsia"/>
          <w:color w:val="000000"/>
          <w:kern w:val="0"/>
          <w:sz w:val="24"/>
          <w:szCs w:val="24"/>
        </w:rPr>
      </w:pPr>
      <w:r w:rsidRPr="00E54573">
        <w:rPr>
          <w:rFonts w:ascii="宋体" w:eastAsia="宋体" w:hAnsi="宋体" w:cs="宋体" w:hint="eastAsia"/>
          <w:color w:val="000000"/>
          <w:kern w:val="0"/>
          <w:szCs w:val="21"/>
        </w:rPr>
        <w:t>二、刘国武利用本人证券账户在内幕信息敏感期内交易“北部湾旅”</w:t>
      </w:r>
    </w:p>
    <w:p w:rsidR="00E54573" w:rsidRPr="00E54573" w:rsidRDefault="00E54573" w:rsidP="00E54573">
      <w:pPr>
        <w:widowControl/>
        <w:shd w:val="clear" w:color="auto" w:fill="FFFFFF"/>
        <w:spacing w:line="360" w:lineRule="atLeast"/>
        <w:ind w:firstLine="420"/>
        <w:rPr>
          <w:rFonts w:ascii="楷体" w:eastAsia="楷体" w:hAnsi="楷体" w:cs="宋体" w:hint="eastAsia"/>
          <w:color w:val="000000"/>
          <w:kern w:val="0"/>
          <w:sz w:val="24"/>
          <w:szCs w:val="24"/>
        </w:rPr>
      </w:pPr>
      <w:r w:rsidRPr="00E54573">
        <w:rPr>
          <w:rFonts w:ascii="宋体" w:eastAsia="宋体" w:hAnsi="宋体" w:cs="宋体" w:hint="eastAsia"/>
          <w:color w:val="000000"/>
          <w:kern w:val="0"/>
          <w:szCs w:val="21"/>
        </w:rPr>
        <w:t>内幕信息知情人刘国武利用本人证券账户在内幕信息敏感期内买入“北部湾旅”50,100股，卖出50,000股，亏损5,232.01元。</w:t>
      </w:r>
    </w:p>
    <w:p w:rsidR="00E54573" w:rsidRPr="00E54573" w:rsidRDefault="00E54573" w:rsidP="00E54573">
      <w:pPr>
        <w:widowControl/>
        <w:shd w:val="clear" w:color="auto" w:fill="FFFFFF"/>
        <w:spacing w:line="360" w:lineRule="atLeast"/>
        <w:ind w:firstLine="420"/>
        <w:rPr>
          <w:rFonts w:ascii="楷体" w:eastAsia="楷体" w:hAnsi="楷体" w:cs="宋体" w:hint="eastAsia"/>
          <w:color w:val="000000"/>
          <w:kern w:val="0"/>
          <w:sz w:val="24"/>
          <w:szCs w:val="24"/>
        </w:rPr>
      </w:pPr>
      <w:r w:rsidRPr="00E54573">
        <w:rPr>
          <w:rFonts w:ascii="宋体" w:eastAsia="宋体" w:hAnsi="宋体" w:cs="宋体" w:hint="eastAsia"/>
          <w:color w:val="000000"/>
          <w:kern w:val="0"/>
          <w:szCs w:val="21"/>
        </w:rPr>
        <w:t>（一）账户交易基本情况</w:t>
      </w:r>
    </w:p>
    <w:p w:rsidR="00E54573" w:rsidRPr="00E54573" w:rsidRDefault="00E54573" w:rsidP="00E54573">
      <w:pPr>
        <w:widowControl/>
        <w:shd w:val="clear" w:color="auto" w:fill="FFFFFF"/>
        <w:spacing w:line="360" w:lineRule="atLeast"/>
        <w:ind w:firstLine="420"/>
        <w:rPr>
          <w:rFonts w:ascii="楷体" w:eastAsia="楷体" w:hAnsi="楷体" w:cs="宋体" w:hint="eastAsia"/>
          <w:color w:val="000000"/>
          <w:kern w:val="0"/>
          <w:sz w:val="24"/>
          <w:szCs w:val="24"/>
        </w:rPr>
      </w:pPr>
      <w:r w:rsidRPr="00E54573">
        <w:rPr>
          <w:rFonts w:ascii="宋体" w:eastAsia="宋体" w:hAnsi="宋体" w:cs="宋体" w:hint="eastAsia"/>
          <w:color w:val="000000"/>
          <w:kern w:val="0"/>
          <w:szCs w:val="21"/>
        </w:rPr>
        <w:t>刘国武证券账户于2015年7月9日在国海证券北海北海大道营业部通过网络开立，资金账号29XXXX02，下挂上海股东账户A25XXXX942和深圳股东账户018XXXX959。2015年7月17日至9月8日，刘国武交易“北部湾旅”的情况为：2015年7月17日、7月20日、7月27日、8月19日、8月27日、8月28日、8月31日合计买入50,100股，成交金额合计1,019,464元；2015年7月21日、7月23日、7月28日、8月27日、8月28日、9月8日合计卖出50,000股，成交金额合计1,013,720元。</w:t>
      </w:r>
    </w:p>
    <w:p w:rsidR="00E54573" w:rsidRPr="00E54573" w:rsidRDefault="00E54573" w:rsidP="00E54573">
      <w:pPr>
        <w:widowControl/>
        <w:shd w:val="clear" w:color="auto" w:fill="FFFFFF"/>
        <w:spacing w:line="360" w:lineRule="atLeast"/>
        <w:ind w:firstLine="420"/>
        <w:rPr>
          <w:rFonts w:ascii="楷体" w:eastAsia="楷体" w:hAnsi="楷体" w:cs="宋体" w:hint="eastAsia"/>
          <w:color w:val="000000"/>
          <w:kern w:val="0"/>
          <w:sz w:val="24"/>
          <w:szCs w:val="24"/>
        </w:rPr>
      </w:pPr>
      <w:r w:rsidRPr="00E54573">
        <w:rPr>
          <w:rFonts w:ascii="宋体" w:eastAsia="宋体" w:hAnsi="宋体" w:cs="宋体" w:hint="eastAsia"/>
          <w:color w:val="000000"/>
          <w:kern w:val="0"/>
          <w:szCs w:val="21"/>
        </w:rPr>
        <w:t>（二）账户资金划转情况</w:t>
      </w:r>
    </w:p>
    <w:p w:rsidR="00E54573" w:rsidRPr="00E54573" w:rsidRDefault="00E54573" w:rsidP="00E54573">
      <w:pPr>
        <w:widowControl/>
        <w:shd w:val="clear" w:color="auto" w:fill="FFFFFF"/>
        <w:spacing w:line="360" w:lineRule="atLeast"/>
        <w:ind w:firstLine="420"/>
        <w:rPr>
          <w:rFonts w:ascii="楷体" w:eastAsia="楷体" w:hAnsi="楷体" w:cs="宋体" w:hint="eastAsia"/>
          <w:color w:val="000000"/>
          <w:kern w:val="0"/>
          <w:sz w:val="24"/>
          <w:szCs w:val="24"/>
        </w:rPr>
      </w:pPr>
      <w:r w:rsidRPr="00E54573">
        <w:rPr>
          <w:rFonts w:ascii="宋体" w:eastAsia="宋体" w:hAnsi="宋体" w:cs="宋体" w:hint="eastAsia"/>
          <w:color w:val="000000"/>
          <w:kern w:val="0"/>
          <w:szCs w:val="21"/>
        </w:rPr>
        <w:t>刘国武证券账户对应的三方存管建设银行本人账户，于2015年7月13日向证券账户转入45万元，8月19日转入10万元，所转入资金均为刘国武的自有资金。</w:t>
      </w:r>
    </w:p>
    <w:p w:rsidR="00E54573" w:rsidRPr="00E54573" w:rsidRDefault="00E54573" w:rsidP="00E54573">
      <w:pPr>
        <w:widowControl/>
        <w:shd w:val="clear" w:color="auto" w:fill="FFFFFF"/>
        <w:spacing w:line="360" w:lineRule="atLeast"/>
        <w:ind w:firstLine="420"/>
        <w:rPr>
          <w:rFonts w:ascii="楷体" w:eastAsia="楷体" w:hAnsi="楷体" w:cs="宋体" w:hint="eastAsia"/>
          <w:color w:val="000000"/>
          <w:kern w:val="0"/>
          <w:sz w:val="24"/>
          <w:szCs w:val="24"/>
        </w:rPr>
      </w:pPr>
      <w:r w:rsidRPr="00E54573">
        <w:rPr>
          <w:rFonts w:ascii="宋体" w:eastAsia="宋体" w:hAnsi="宋体" w:cs="宋体" w:hint="eastAsia"/>
          <w:color w:val="000000"/>
          <w:kern w:val="0"/>
          <w:szCs w:val="21"/>
        </w:rPr>
        <w:t>（三）账户实际操作情况</w:t>
      </w:r>
    </w:p>
    <w:p w:rsidR="00E54573" w:rsidRPr="00E54573" w:rsidRDefault="00E54573" w:rsidP="00E54573">
      <w:pPr>
        <w:widowControl/>
        <w:shd w:val="clear" w:color="auto" w:fill="FFFFFF"/>
        <w:spacing w:line="360" w:lineRule="atLeast"/>
        <w:ind w:firstLine="420"/>
        <w:rPr>
          <w:rFonts w:ascii="楷体" w:eastAsia="楷体" w:hAnsi="楷体" w:cs="宋体" w:hint="eastAsia"/>
          <w:color w:val="000000"/>
          <w:kern w:val="0"/>
          <w:sz w:val="24"/>
          <w:szCs w:val="24"/>
        </w:rPr>
      </w:pPr>
      <w:r w:rsidRPr="00E54573">
        <w:rPr>
          <w:rFonts w:ascii="宋体" w:eastAsia="宋体" w:hAnsi="宋体" w:cs="宋体" w:hint="eastAsia"/>
          <w:color w:val="000000"/>
          <w:kern w:val="0"/>
          <w:szCs w:val="21"/>
        </w:rPr>
        <w:t>刘国武证券账户由刘国武通过本人办公笔记本电脑和本人手机进行操作。</w:t>
      </w:r>
    </w:p>
    <w:p w:rsidR="00E54573" w:rsidRPr="00E54573" w:rsidRDefault="00E54573" w:rsidP="00E54573">
      <w:pPr>
        <w:widowControl/>
        <w:shd w:val="clear" w:color="auto" w:fill="FFFFFF"/>
        <w:spacing w:line="360" w:lineRule="atLeast"/>
        <w:ind w:firstLine="420"/>
        <w:rPr>
          <w:rFonts w:ascii="楷体" w:eastAsia="楷体" w:hAnsi="楷体" w:cs="宋体" w:hint="eastAsia"/>
          <w:color w:val="000000"/>
          <w:kern w:val="0"/>
          <w:sz w:val="24"/>
          <w:szCs w:val="24"/>
        </w:rPr>
      </w:pPr>
      <w:r w:rsidRPr="00E54573">
        <w:rPr>
          <w:rFonts w:ascii="宋体" w:eastAsia="宋体" w:hAnsi="宋体" w:cs="宋体" w:hint="eastAsia"/>
          <w:color w:val="000000"/>
          <w:kern w:val="0"/>
          <w:szCs w:val="21"/>
        </w:rPr>
        <w:t>以上事实，有相关证券账户资料、交易记录、银行账户资料、相关借款协议及情况说明、相关人员询问笔录等证据证明，足以认定。</w:t>
      </w:r>
    </w:p>
    <w:p w:rsidR="00E54573" w:rsidRPr="00E54573" w:rsidRDefault="00E54573" w:rsidP="00E54573">
      <w:pPr>
        <w:widowControl/>
        <w:shd w:val="clear" w:color="auto" w:fill="FFFFFF"/>
        <w:spacing w:line="360" w:lineRule="atLeast"/>
        <w:ind w:firstLine="420"/>
        <w:rPr>
          <w:rFonts w:ascii="楷体" w:eastAsia="楷体" w:hAnsi="楷体" w:cs="宋体" w:hint="eastAsia"/>
          <w:color w:val="000000"/>
          <w:kern w:val="0"/>
          <w:sz w:val="24"/>
          <w:szCs w:val="24"/>
        </w:rPr>
      </w:pPr>
      <w:r w:rsidRPr="00E54573">
        <w:rPr>
          <w:rFonts w:ascii="宋体" w:eastAsia="宋体" w:hAnsi="宋体" w:cs="宋体" w:hint="eastAsia"/>
          <w:color w:val="000000"/>
          <w:kern w:val="0"/>
          <w:szCs w:val="21"/>
        </w:rPr>
        <w:t>我会认为，刘国武的上述行为，违反了《证券法》第七十三条、第七十六条第一款的规定，构成《证券法》第二百零二条所述内幕交易行为。</w:t>
      </w:r>
    </w:p>
    <w:p w:rsidR="00E54573" w:rsidRPr="00E54573" w:rsidRDefault="00E54573" w:rsidP="00E54573">
      <w:pPr>
        <w:widowControl/>
        <w:shd w:val="clear" w:color="auto" w:fill="FFFFFF"/>
        <w:spacing w:line="360" w:lineRule="atLeast"/>
        <w:ind w:firstLine="420"/>
        <w:rPr>
          <w:rFonts w:ascii="楷体" w:eastAsia="楷体" w:hAnsi="楷体" w:cs="宋体" w:hint="eastAsia"/>
          <w:color w:val="000000"/>
          <w:kern w:val="0"/>
          <w:sz w:val="24"/>
          <w:szCs w:val="24"/>
        </w:rPr>
      </w:pPr>
      <w:r w:rsidRPr="00E54573">
        <w:rPr>
          <w:rFonts w:ascii="宋体" w:eastAsia="宋体" w:hAnsi="宋体" w:cs="宋体" w:hint="eastAsia"/>
          <w:color w:val="000000"/>
          <w:kern w:val="0"/>
          <w:szCs w:val="21"/>
        </w:rPr>
        <w:t>根据当事人违法行为的事实、性质、情节与社会危害程度，依据《证券法》第二百零二条的规定，我会决定：对刘国武处以15万元罚款。</w:t>
      </w:r>
    </w:p>
    <w:p w:rsidR="00E54573" w:rsidRPr="00E54573" w:rsidRDefault="00E54573" w:rsidP="00E54573">
      <w:pPr>
        <w:widowControl/>
        <w:shd w:val="clear" w:color="auto" w:fill="FFFFFF"/>
        <w:spacing w:line="360" w:lineRule="atLeast"/>
        <w:ind w:firstLine="420"/>
        <w:rPr>
          <w:rFonts w:ascii="楷体" w:eastAsia="楷体" w:hAnsi="楷体" w:cs="宋体" w:hint="eastAsia"/>
          <w:color w:val="000000"/>
          <w:kern w:val="0"/>
          <w:sz w:val="24"/>
          <w:szCs w:val="24"/>
        </w:rPr>
      </w:pPr>
      <w:r w:rsidRPr="00E54573">
        <w:rPr>
          <w:rFonts w:ascii="宋体" w:eastAsia="宋体" w:hAnsi="宋体" w:cs="宋体" w:hint="eastAsia"/>
          <w:color w:val="000000"/>
          <w:kern w:val="0"/>
          <w:szCs w:val="21"/>
        </w:rPr>
        <w:lastRenderedPageBreak/>
        <w:t>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E54573" w:rsidRPr="00E54573" w:rsidRDefault="00E54573" w:rsidP="00E54573">
      <w:pPr>
        <w:widowControl/>
        <w:shd w:val="clear" w:color="auto" w:fill="FFFFFF"/>
        <w:spacing w:line="360" w:lineRule="atLeast"/>
        <w:jc w:val="left"/>
        <w:rPr>
          <w:rFonts w:ascii="楷体" w:eastAsia="楷体" w:hAnsi="楷体" w:cs="宋体" w:hint="eastAsia"/>
          <w:color w:val="000000"/>
          <w:kern w:val="0"/>
          <w:sz w:val="24"/>
          <w:szCs w:val="24"/>
        </w:rPr>
      </w:pPr>
      <w:r w:rsidRPr="00E54573">
        <w:rPr>
          <w:rFonts w:ascii="宋体" w:eastAsia="宋体" w:hAnsi="宋体" w:cs="宋体" w:hint="eastAsia"/>
          <w:color w:val="000000"/>
          <w:kern w:val="0"/>
          <w:szCs w:val="21"/>
        </w:rPr>
        <w:t> </w:t>
      </w:r>
    </w:p>
    <w:p w:rsidR="00E54573" w:rsidRPr="00E54573" w:rsidRDefault="00E54573" w:rsidP="00E54573">
      <w:pPr>
        <w:widowControl/>
        <w:shd w:val="clear" w:color="auto" w:fill="FFFFFF"/>
        <w:spacing w:line="360" w:lineRule="atLeast"/>
        <w:jc w:val="left"/>
        <w:rPr>
          <w:rFonts w:ascii="楷体" w:eastAsia="楷体" w:hAnsi="楷体" w:cs="宋体" w:hint="eastAsia"/>
          <w:color w:val="000000"/>
          <w:kern w:val="0"/>
          <w:sz w:val="24"/>
          <w:szCs w:val="24"/>
        </w:rPr>
      </w:pPr>
      <w:r w:rsidRPr="00E54573">
        <w:rPr>
          <w:rFonts w:ascii="宋体" w:eastAsia="宋体" w:hAnsi="宋体" w:cs="宋体" w:hint="eastAsia"/>
          <w:color w:val="000000"/>
          <w:kern w:val="0"/>
          <w:szCs w:val="21"/>
        </w:rPr>
        <w:t> </w:t>
      </w:r>
    </w:p>
    <w:p w:rsidR="00E54573" w:rsidRPr="00E54573" w:rsidRDefault="00E54573" w:rsidP="00E54573">
      <w:pPr>
        <w:widowControl/>
        <w:shd w:val="clear" w:color="auto" w:fill="FFFFFF"/>
        <w:spacing w:line="360" w:lineRule="atLeast"/>
        <w:jc w:val="left"/>
        <w:rPr>
          <w:rFonts w:ascii="楷体" w:eastAsia="楷体" w:hAnsi="楷体" w:cs="宋体" w:hint="eastAsia"/>
          <w:color w:val="000000"/>
          <w:kern w:val="0"/>
          <w:sz w:val="24"/>
          <w:szCs w:val="24"/>
        </w:rPr>
      </w:pPr>
      <w:r w:rsidRPr="00E54573">
        <w:rPr>
          <w:rFonts w:ascii="宋体" w:eastAsia="宋体" w:hAnsi="宋体" w:cs="宋体" w:hint="eastAsia"/>
          <w:color w:val="000000"/>
          <w:kern w:val="0"/>
          <w:szCs w:val="21"/>
        </w:rPr>
        <w:t> </w:t>
      </w:r>
    </w:p>
    <w:p w:rsidR="00E54573" w:rsidRPr="00E54573" w:rsidRDefault="00E54573" w:rsidP="00E54573">
      <w:pPr>
        <w:widowControl/>
        <w:shd w:val="clear" w:color="auto" w:fill="FFFFFF"/>
        <w:spacing w:line="360" w:lineRule="atLeast"/>
        <w:jc w:val="left"/>
        <w:rPr>
          <w:rFonts w:ascii="楷体" w:eastAsia="楷体" w:hAnsi="楷体" w:cs="宋体" w:hint="eastAsia"/>
          <w:color w:val="000000"/>
          <w:kern w:val="0"/>
          <w:sz w:val="24"/>
          <w:szCs w:val="24"/>
        </w:rPr>
      </w:pPr>
      <w:r w:rsidRPr="00E54573">
        <w:rPr>
          <w:rFonts w:ascii="宋体" w:eastAsia="宋体" w:hAnsi="宋体" w:cs="宋体" w:hint="eastAsia"/>
          <w:color w:val="000000"/>
          <w:kern w:val="0"/>
          <w:szCs w:val="21"/>
        </w:rPr>
        <w:t> </w:t>
      </w:r>
    </w:p>
    <w:p w:rsidR="00E54573" w:rsidRPr="00E54573" w:rsidRDefault="00E54573" w:rsidP="00E5457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E54573">
        <w:rPr>
          <w:rFonts w:ascii="宋体" w:eastAsia="宋体" w:hAnsi="宋体" w:cs="宋体" w:hint="eastAsia"/>
          <w:color w:val="000000"/>
          <w:kern w:val="0"/>
          <w:szCs w:val="21"/>
        </w:rPr>
        <w:t>中国证监会</w:t>
      </w:r>
      <w:proofErr w:type="gramStart"/>
      <w:r w:rsidRPr="00E54573">
        <w:rPr>
          <w:rFonts w:ascii="宋体" w:eastAsia="宋体" w:hAnsi="宋体" w:cs="宋体" w:hint="eastAsia"/>
          <w:color w:val="000000"/>
          <w:kern w:val="0"/>
          <w:szCs w:val="21"/>
        </w:rPr>
        <w:t xml:space="preserve">　　　　　</w:t>
      </w:r>
      <w:proofErr w:type="gramEnd"/>
      <w:r w:rsidRPr="00E54573">
        <w:rPr>
          <w:rFonts w:ascii="宋体" w:eastAsia="宋体" w:hAnsi="宋体" w:cs="宋体" w:hint="eastAsia"/>
          <w:color w:val="000000"/>
          <w:kern w:val="0"/>
          <w:szCs w:val="21"/>
        </w:rPr>
        <w:t> </w:t>
      </w:r>
    </w:p>
    <w:p w:rsidR="00E54573" w:rsidRPr="00E54573" w:rsidRDefault="00E54573" w:rsidP="00E5457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E54573">
        <w:rPr>
          <w:rFonts w:ascii="宋体" w:eastAsia="宋体" w:hAnsi="宋体" w:cs="宋体" w:hint="eastAsia"/>
          <w:color w:val="000000"/>
          <w:kern w:val="0"/>
          <w:szCs w:val="21"/>
        </w:rPr>
        <w:t xml:space="preserve">2017年5月31日　　</w:t>
      </w:r>
      <w:proofErr w:type="gramStart"/>
      <w:r w:rsidRPr="00E54573">
        <w:rPr>
          <w:rFonts w:ascii="宋体" w:eastAsia="宋体" w:hAnsi="宋体" w:cs="宋体" w:hint="eastAsia"/>
          <w:color w:val="000000"/>
          <w:kern w:val="0"/>
          <w:szCs w:val="21"/>
        </w:rPr>
        <w:t xml:space="preserve">　　</w:t>
      </w:r>
      <w:proofErr w:type="gramEnd"/>
    </w:p>
    <w:p w:rsidR="00E54573" w:rsidRPr="00E54573" w:rsidRDefault="00E54573" w:rsidP="00E54573">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E54573" w:rsidRPr="00E54573" w:rsidTr="00E54573">
        <w:trPr>
          <w:tblCellSpacing w:w="15" w:type="dxa"/>
          <w:jc w:val="center"/>
        </w:trPr>
        <w:tc>
          <w:tcPr>
            <w:tcW w:w="900" w:type="dxa"/>
            <w:vAlign w:val="center"/>
            <w:hideMark/>
          </w:tcPr>
          <w:p w:rsidR="00E54573" w:rsidRPr="00E54573" w:rsidRDefault="00E54573" w:rsidP="00E54573">
            <w:pPr>
              <w:widowControl/>
              <w:jc w:val="left"/>
              <w:rPr>
                <w:rFonts w:ascii="宋体" w:eastAsia="宋体" w:hAnsi="宋体" w:cs="宋体" w:hint="eastAsia"/>
                <w:kern w:val="0"/>
                <w:sz w:val="18"/>
                <w:szCs w:val="18"/>
              </w:rPr>
            </w:pPr>
            <w:r w:rsidRPr="00E54573">
              <w:rPr>
                <w:rFonts w:ascii="宋体" w:eastAsia="宋体" w:hAnsi="宋体" w:cs="宋体"/>
                <w:kern w:val="0"/>
                <w:sz w:val="18"/>
                <w:szCs w:val="18"/>
              </w:rPr>
              <w:t> </w:t>
            </w:r>
          </w:p>
        </w:tc>
        <w:tc>
          <w:tcPr>
            <w:tcW w:w="1200" w:type="dxa"/>
            <w:vAlign w:val="center"/>
            <w:hideMark/>
          </w:tcPr>
          <w:p w:rsidR="00E54573" w:rsidRPr="00E54573" w:rsidRDefault="00E54573" w:rsidP="00E54573">
            <w:pPr>
              <w:widowControl/>
              <w:jc w:val="left"/>
              <w:rPr>
                <w:rFonts w:ascii="宋体" w:eastAsia="宋体" w:hAnsi="宋体" w:cs="宋体"/>
                <w:kern w:val="0"/>
                <w:sz w:val="18"/>
                <w:szCs w:val="18"/>
              </w:rPr>
            </w:pPr>
            <w:r w:rsidRPr="00E54573">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E54573" w:rsidRPr="00E54573" w:rsidRDefault="00E54573" w:rsidP="00E54573">
            <w:pPr>
              <w:widowControl/>
              <w:jc w:val="left"/>
              <w:rPr>
                <w:rFonts w:ascii="宋体" w:eastAsia="宋体" w:hAnsi="宋体" w:cs="宋体"/>
                <w:kern w:val="0"/>
                <w:sz w:val="18"/>
                <w:szCs w:val="18"/>
              </w:rPr>
            </w:pPr>
            <w:r w:rsidRPr="00E54573">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E54573" w:rsidRPr="00E54573" w:rsidRDefault="00E54573" w:rsidP="00E54573">
            <w:pPr>
              <w:widowControl/>
              <w:jc w:val="left"/>
              <w:rPr>
                <w:rFonts w:ascii="宋体" w:eastAsia="宋体" w:hAnsi="宋体" w:cs="宋体"/>
                <w:kern w:val="0"/>
                <w:sz w:val="18"/>
                <w:szCs w:val="18"/>
              </w:rPr>
            </w:pPr>
            <w:r w:rsidRPr="00E54573">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E54573" w:rsidRPr="00E54573" w:rsidRDefault="00E54573" w:rsidP="00E54573">
      <w:pPr>
        <w:widowControl/>
        <w:jc w:val="center"/>
        <w:rPr>
          <w:rFonts w:ascii="微软雅黑" w:eastAsia="微软雅黑" w:hAnsi="微软雅黑" w:cs="宋体"/>
          <w:color w:val="515151"/>
          <w:kern w:val="0"/>
          <w:sz w:val="18"/>
          <w:szCs w:val="18"/>
        </w:rPr>
      </w:pPr>
      <w:hyperlink r:id="rId11" w:tgtFrame="_blank" w:history="1">
        <w:r w:rsidRPr="00E54573">
          <w:rPr>
            <w:rFonts w:ascii="微软雅黑" w:eastAsia="微软雅黑" w:hAnsi="微软雅黑" w:cs="宋体" w:hint="eastAsia"/>
            <w:color w:val="0000FF"/>
            <w:kern w:val="0"/>
            <w:sz w:val="18"/>
            <w:szCs w:val="18"/>
            <w:u w:val="single"/>
          </w:rPr>
          <w:t>关于我们</w:t>
        </w:r>
      </w:hyperlink>
      <w:r w:rsidRPr="00E54573">
        <w:rPr>
          <w:rFonts w:ascii="微软雅黑" w:eastAsia="微软雅黑" w:hAnsi="微软雅黑" w:cs="宋体" w:hint="eastAsia"/>
          <w:color w:val="515151"/>
          <w:kern w:val="0"/>
          <w:sz w:val="18"/>
          <w:szCs w:val="18"/>
        </w:rPr>
        <w:t> - </w:t>
      </w:r>
      <w:hyperlink r:id="rId12" w:tgtFrame="_blank" w:history="1">
        <w:r w:rsidRPr="00E54573">
          <w:rPr>
            <w:rFonts w:ascii="微软雅黑" w:eastAsia="微软雅黑" w:hAnsi="微软雅黑" w:cs="宋体" w:hint="eastAsia"/>
            <w:color w:val="0000FF"/>
            <w:kern w:val="0"/>
            <w:sz w:val="18"/>
            <w:szCs w:val="18"/>
            <w:u w:val="single"/>
          </w:rPr>
          <w:t>法律声明</w:t>
        </w:r>
      </w:hyperlink>
      <w:r w:rsidRPr="00E54573">
        <w:rPr>
          <w:rFonts w:ascii="微软雅黑" w:eastAsia="微软雅黑" w:hAnsi="微软雅黑" w:cs="宋体" w:hint="eastAsia"/>
          <w:color w:val="515151"/>
          <w:kern w:val="0"/>
          <w:sz w:val="18"/>
          <w:szCs w:val="18"/>
        </w:rPr>
        <w:t> - </w:t>
      </w:r>
      <w:hyperlink r:id="rId13" w:tgtFrame="_blank" w:history="1">
        <w:r w:rsidRPr="00E54573">
          <w:rPr>
            <w:rFonts w:ascii="微软雅黑" w:eastAsia="微软雅黑" w:hAnsi="微软雅黑" w:cs="宋体" w:hint="eastAsia"/>
            <w:color w:val="0000FF"/>
            <w:kern w:val="0"/>
            <w:sz w:val="18"/>
            <w:szCs w:val="18"/>
            <w:u w:val="single"/>
          </w:rPr>
          <w:t>联系我们</w:t>
        </w:r>
      </w:hyperlink>
    </w:p>
    <w:p w:rsidR="00E54573" w:rsidRPr="00E54573" w:rsidRDefault="00E54573" w:rsidP="00E54573">
      <w:pPr>
        <w:widowControl/>
        <w:jc w:val="center"/>
        <w:rPr>
          <w:rFonts w:ascii="微软雅黑" w:eastAsia="微软雅黑" w:hAnsi="微软雅黑" w:cs="宋体" w:hint="eastAsia"/>
          <w:color w:val="515151"/>
          <w:kern w:val="0"/>
          <w:sz w:val="18"/>
          <w:szCs w:val="18"/>
        </w:rPr>
      </w:pPr>
      <w:r w:rsidRPr="00E54573">
        <w:rPr>
          <w:rFonts w:ascii="微软雅黑" w:eastAsia="微软雅黑" w:hAnsi="微软雅黑" w:cs="宋体" w:hint="eastAsia"/>
          <w:color w:val="515151"/>
          <w:kern w:val="0"/>
          <w:sz w:val="18"/>
          <w:szCs w:val="18"/>
        </w:rPr>
        <w:t>版权所有：中国证券监督管理委员会 京ICP备 05035542号</w:t>
      </w:r>
    </w:p>
    <w:p w:rsidR="00E54573" w:rsidRPr="00E54573" w:rsidRDefault="00E54573" w:rsidP="00E54573">
      <w:pPr>
        <w:widowControl/>
        <w:jc w:val="center"/>
        <w:rPr>
          <w:rFonts w:ascii="微软雅黑" w:eastAsia="微软雅黑" w:hAnsi="微软雅黑" w:cs="宋体" w:hint="eastAsia"/>
          <w:color w:val="515151"/>
          <w:kern w:val="0"/>
          <w:sz w:val="18"/>
          <w:szCs w:val="18"/>
        </w:rPr>
      </w:pPr>
      <w:r w:rsidRPr="00E54573">
        <w:rPr>
          <w:rFonts w:ascii="微软雅黑" w:eastAsia="微软雅黑" w:hAnsi="微软雅黑" w:cs="宋体" w:hint="eastAsia"/>
          <w:color w:val="515151"/>
          <w:kern w:val="0"/>
          <w:sz w:val="18"/>
          <w:szCs w:val="18"/>
        </w:rPr>
        <w:t>地址：北京市西城区金融大街19号富凯大厦A座 邮编：100033</w:t>
      </w:r>
    </w:p>
    <w:p w:rsidR="00E54573" w:rsidRPr="00E54573" w:rsidRDefault="00E54573" w:rsidP="00E54573">
      <w:pPr>
        <w:widowControl/>
        <w:jc w:val="center"/>
        <w:rPr>
          <w:rFonts w:ascii="微软雅黑" w:eastAsia="微软雅黑" w:hAnsi="微软雅黑" w:cs="宋体" w:hint="eastAsia"/>
          <w:color w:val="515151"/>
          <w:kern w:val="0"/>
          <w:sz w:val="18"/>
          <w:szCs w:val="18"/>
        </w:rPr>
      </w:pPr>
      <w:r w:rsidRPr="00E54573">
        <w:rPr>
          <w:rFonts w:ascii="微软雅黑" w:eastAsia="微软雅黑" w:hAnsi="微软雅黑" w:cs="宋体" w:hint="eastAsia"/>
          <w:color w:val="515151"/>
          <w:kern w:val="0"/>
          <w:sz w:val="18"/>
          <w:szCs w:val="18"/>
        </w:rPr>
        <w:t>建议使用IE5.5以上浏览器，分辨率1024*768</w:t>
      </w:r>
    </w:p>
    <w:p w:rsidR="00801F9F" w:rsidRPr="00E54573" w:rsidRDefault="00801F9F"/>
    <w:sectPr w:rsidR="00801F9F" w:rsidRPr="00E545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573"/>
    <w:rsid w:val="00801F9F"/>
    <w:rsid w:val="00E54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64751-B1AA-4D7A-9A95-695D12DA7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5457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54573"/>
    <w:rPr>
      <w:b/>
      <w:bCs/>
    </w:rPr>
  </w:style>
  <w:style w:type="paragraph" w:customStyle="1" w:styleId="p0">
    <w:name w:val="p0"/>
    <w:basedOn w:val="a"/>
    <w:rsid w:val="00E54573"/>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545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535385">
      <w:bodyDiv w:val="1"/>
      <w:marLeft w:val="0"/>
      <w:marRight w:val="0"/>
      <w:marTop w:val="0"/>
      <w:marBottom w:val="0"/>
      <w:divBdr>
        <w:top w:val="none" w:sz="0" w:space="0" w:color="auto"/>
        <w:left w:val="none" w:sz="0" w:space="0" w:color="auto"/>
        <w:bottom w:val="none" w:sz="0" w:space="0" w:color="auto"/>
        <w:right w:val="none" w:sz="0" w:space="0" w:color="auto"/>
      </w:divBdr>
      <w:divsChild>
        <w:div w:id="1810510288">
          <w:marLeft w:val="0"/>
          <w:marRight w:val="0"/>
          <w:marTop w:val="150"/>
          <w:marBottom w:val="150"/>
          <w:divBdr>
            <w:top w:val="none" w:sz="0" w:space="0" w:color="auto"/>
            <w:left w:val="none" w:sz="0" w:space="0" w:color="auto"/>
            <w:bottom w:val="none" w:sz="0" w:space="0" w:color="auto"/>
            <w:right w:val="none" w:sz="0" w:space="0" w:color="auto"/>
          </w:divBdr>
        </w:div>
        <w:div w:id="1171068700">
          <w:marLeft w:val="0"/>
          <w:marRight w:val="0"/>
          <w:marTop w:val="0"/>
          <w:marBottom w:val="0"/>
          <w:divBdr>
            <w:top w:val="single" w:sz="6" w:space="8" w:color="B5B5B5"/>
            <w:left w:val="single" w:sz="6" w:space="0" w:color="B5B5B5"/>
            <w:bottom w:val="single" w:sz="6" w:space="8" w:color="B5B5B5"/>
            <w:right w:val="single" w:sz="6" w:space="0" w:color="B5B5B5"/>
          </w:divBdr>
          <w:divsChild>
            <w:div w:id="215776038">
              <w:marLeft w:val="0"/>
              <w:marRight w:val="0"/>
              <w:marTop w:val="0"/>
              <w:marBottom w:val="0"/>
              <w:divBdr>
                <w:top w:val="none" w:sz="0" w:space="0" w:color="auto"/>
                <w:left w:val="none" w:sz="0" w:space="0" w:color="auto"/>
                <w:bottom w:val="none" w:sz="0" w:space="0" w:color="auto"/>
                <w:right w:val="none" w:sz="0" w:space="0" w:color="auto"/>
              </w:divBdr>
            </w:div>
            <w:div w:id="452360751">
              <w:marLeft w:val="0"/>
              <w:marRight w:val="0"/>
              <w:marTop w:val="0"/>
              <w:marBottom w:val="0"/>
              <w:divBdr>
                <w:top w:val="none" w:sz="0" w:space="0" w:color="auto"/>
                <w:left w:val="none" w:sz="0" w:space="0" w:color="auto"/>
                <w:bottom w:val="none" w:sz="0" w:space="0" w:color="auto"/>
                <w:right w:val="none" w:sz="0" w:space="0" w:color="auto"/>
              </w:divBdr>
            </w:div>
            <w:div w:id="1043823590">
              <w:marLeft w:val="0"/>
              <w:marRight w:val="0"/>
              <w:marTop w:val="120"/>
              <w:marBottom w:val="120"/>
              <w:divBdr>
                <w:top w:val="none" w:sz="0" w:space="0" w:color="auto"/>
                <w:left w:val="none" w:sz="0" w:space="0" w:color="auto"/>
                <w:bottom w:val="none" w:sz="0" w:space="0" w:color="auto"/>
                <w:right w:val="none" w:sz="0" w:space="0" w:color="auto"/>
              </w:divBdr>
            </w:div>
          </w:divsChild>
        </w:div>
        <w:div w:id="1574925295">
          <w:marLeft w:val="0"/>
          <w:marRight w:val="0"/>
          <w:marTop w:val="120"/>
          <w:marBottom w:val="0"/>
          <w:divBdr>
            <w:top w:val="none" w:sz="0" w:space="0" w:color="auto"/>
            <w:left w:val="none" w:sz="0" w:space="0" w:color="auto"/>
            <w:bottom w:val="none" w:sz="0" w:space="0" w:color="auto"/>
            <w:right w:val="none" w:sz="0" w:space="0" w:color="auto"/>
          </w:divBdr>
          <w:divsChild>
            <w:div w:id="188033327">
              <w:marLeft w:val="0"/>
              <w:marRight w:val="0"/>
              <w:marTop w:val="60"/>
              <w:marBottom w:val="0"/>
              <w:divBdr>
                <w:top w:val="none" w:sz="0" w:space="0" w:color="auto"/>
                <w:left w:val="none" w:sz="0" w:space="0" w:color="auto"/>
                <w:bottom w:val="none" w:sz="0" w:space="0" w:color="auto"/>
                <w:right w:val="none" w:sz="0" w:space="0" w:color="auto"/>
              </w:divBdr>
            </w:div>
            <w:div w:id="242493759">
              <w:marLeft w:val="0"/>
              <w:marRight w:val="0"/>
              <w:marTop w:val="60"/>
              <w:marBottom w:val="0"/>
              <w:divBdr>
                <w:top w:val="none" w:sz="0" w:space="0" w:color="auto"/>
                <w:left w:val="none" w:sz="0" w:space="0" w:color="auto"/>
                <w:bottom w:val="none" w:sz="0" w:space="0" w:color="auto"/>
                <w:right w:val="none" w:sz="0" w:space="0" w:color="auto"/>
              </w:divBdr>
            </w:div>
            <w:div w:id="1860972876">
              <w:marLeft w:val="0"/>
              <w:marRight w:val="0"/>
              <w:marTop w:val="60"/>
              <w:marBottom w:val="0"/>
              <w:divBdr>
                <w:top w:val="none" w:sz="0" w:space="0" w:color="auto"/>
                <w:left w:val="none" w:sz="0" w:space="0" w:color="auto"/>
                <w:bottom w:val="none" w:sz="0" w:space="0" w:color="auto"/>
                <w:right w:val="none" w:sz="0" w:space="0" w:color="auto"/>
              </w:divBdr>
            </w:div>
            <w:div w:id="117861834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706/t20170609_318083.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428</Words>
  <Characters>2444</Characters>
  <Application>Microsoft Office Word</Application>
  <DocSecurity>0</DocSecurity>
  <Lines>20</Lines>
  <Paragraphs>5</Paragraphs>
  <ScaleCrop>false</ScaleCrop>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2020-02-17T14:25:00Z</dcterms:created>
  <dcterms:modified xsi:type="dcterms:W3CDTF">2020-02-17T14:26:00Z</dcterms:modified>
</cp:coreProperties>
</file>