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336" w:rsidRPr="00A75336" w:rsidRDefault="00A75336" w:rsidP="00A75336">
      <w:pPr>
        <w:widowControl/>
        <w:jc w:val="center"/>
        <w:rPr>
          <w:rFonts w:ascii="微软雅黑" w:eastAsia="微软雅黑" w:hAnsi="微软雅黑" w:cs="宋体"/>
          <w:color w:val="000000"/>
          <w:kern w:val="0"/>
          <w:sz w:val="18"/>
          <w:szCs w:val="18"/>
        </w:rPr>
      </w:pPr>
      <w:r w:rsidRPr="00A7533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A75336" w:rsidRPr="00A75336" w:rsidTr="00A7533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75336" w:rsidRPr="00A75336">
              <w:trPr>
                <w:tblCellSpacing w:w="0" w:type="dxa"/>
              </w:trPr>
              <w:tc>
                <w:tcPr>
                  <w:tcW w:w="2500" w:type="pct"/>
                  <w:tcMar>
                    <w:top w:w="30" w:type="dxa"/>
                    <w:left w:w="30" w:type="dxa"/>
                    <w:bottom w:w="30" w:type="dxa"/>
                    <w:right w:w="30" w:type="dxa"/>
                  </w:tcMar>
                  <w:hideMark/>
                </w:tcPr>
                <w:p w:rsidR="00A75336" w:rsidRPr="00A75336" w:rsidRDefault="00A75336" w:rsidP="00A75336">
                  <w:pPr>
                    <w:widowControl/>
                    <w:jc w:val="left"/>
                    <w:rPr>
                      <w:rFonts w:ascii="宋体" w:eastAsia="宋体" w:hAnsi="宋体" w:cs="宋体" w:hint="eastAsia"/>
                      <w:color w:val="686868"/>
                      <w:kern w:val="0"/>
                      <w:sz w:val="18"/>
                      <w:szCs w:val="18"/>
                    </w:rPr>
                  </w:pPr>
                  <w:r w:rsidRPr="00A75336">
                    <w:rPr>
                      <w:rFonts w:ascii="宋体" w:eastAsia="宋体" w:hAnsi="宋体" w:cs="宋体"/>
                      <w:b/>
                      <w:bCs/>
                      <w:color w:val="686868"/>
                      <w:kern w:val="0"/>
                      <w:sz w:val="18"/>
                      <w:szCs w:val="18"/>
                    </w:rPr>
                    <w:t>索 引 号:</w:t>
                  </w:r>
                  <w:r w:rsidRPr="00A75336">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75336" w:rsidRPr="00A75336" w:rsidRDefault="00A75336" w:rsidP="00A75336">
                  <w:pPr>
                    <w:widowControl/>
                    <w:jc w:val="left"/>
                    <w:rPr>
                      <w:rFonts w:ascii="宋体" w:eastAsia="宋体" w:hAnsi="宋体" w:cs="宋体"/>
                      <w:color w:val="686868"/>
                      <w:kern w:val="0"/>
                      <w:sz w:val="18"/>
                      <w:szCs w:val="18"/>
                    </w:rPr>
                  </w:pPr>
                  <w:r w:rsidRPr="00A75336">
                    <w:rPr>
                      <w:rFonts w:ascii="宋体" w:eastAsia="宋体" w:hAnsi="宋体" w:cs="宋体"/>
                      <w:b/>
                      <w:bCs/>
                      <w:color w:val="686868"/>
                      <w:kern w:val="0"/>
                      <w:sz w:val="18"/>
                      <w:szCs w:val="18"/>
                    </w:rPr>
                    <w:t>分类:</w:t>
                  </w:r>
                  <w:r w:rsidRPr="00A75336">
                    <w:rPr>
                      <w:rFonts w:ascii="宋体" w:eastAsia="宋体" w:hAnsi="宋体" w:cs="宋体"/>
                      <w:color w:val="686868"/>
                      <w:kern w:val="0"/>
                      <w:sz w:val="18"/>
                      <w:szCs w:val="18"/>
                    </w:rPr>
                    <w:t> 行政处罚 ; 行政处罚决定</w:t>
                  </w:r>
                </w:p>
              </w:tc>
            </w:tr>
          </w:tbl>
          <w:p w:rsidR="00A75336" w:rsidRPr="00A75336" w:rsidRDefault="00A75336" w:rsidP="00A75336">
            <w:pPr>
              <w:widowControl/>
              <w:jc w:val="left"/>
              <w:rPr>
                <w:rFonts w:ascii="宋体" w:eastAsia="宋体" w:hAnsi="宋体" w:cs="宋体"/>
                <w:color w:val="686868"/>
                <w:kern w:val="0"/>
                <w:sz w:val="18"/>
                <w:szCs w:val="18"/>
              </w:rPr>
            </w:pPr>
          </w:p>
        </w:tc>
      </w:tr>
      <w:tr w:rsidR="00A75336" w:rsidRPr="00A75336" w:rsidTr="00A7533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75336" w:rsidRPr="00A75336">
              <w:trPr>
                <w:tblCellSpacing w:w="0" w:type="dxa"/>
              </w:trPr>
              <w:tc>
                <w:tcPr>
                  <w:tcW w:w="2500" w:type="pct"/>
                  <w:tcMar>
                    <w:top w:w="30" w:type="dxa"/>
                    <w:left w:w="30" w:type="dxa"/>
                    <w:bottom w:w="30" w:type="dxa"/>
                    <w:right w:w="30" w:type="dxa"/>
                  </w:tcMar>
                  <w:hideMark/>
                </w:tcPr>
                <w:p w:rsidR="00A75336" w:rsidRPr="00A75336" w:rsidRDefault="00A75336" w:rsidP="00A75336">
                  <w:pPr>
                    <w:widowControl/>
                    <w:jc w:val="left"/>
                    <w:rPr>
                      <w:rFonts w:ascii="宋体" w:eastAsia="宋体" w:hAnsi="宋体" w:cs="宋体"/>
                      <w:color w:val="686868"/>
                      <w:kern w:val="0"/>
                      <w:sz w:val="18"/>
                      <w:szCs w:val="18"/>
                    </w:rPr>
                  </w:pPr>
                  <w:r w:rsidRPr="00A75336">
                    <w:rPr>
                      <w:rFonts w:ascii="宋体" w:eastAsia="宋体" w:hAnsi="宋体" w:cs="宋体"/>
                      <w:b/>
                      <w:bCs/>
                      <w:color w:val="686868"/>
                      <w:kern w:val="0"/>
                      <w:sz w:val="18"/>
                      <w:szCs w:val="18"/>
                    </w:rPr>
                    <w:t>发布机构:</w:t>
                  </w:r>
                  <w:r w:rsidRPr="00A7533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75336" w:rsidRPr="00A75336" w:rsidRDefault="00A75336" w:rsidP="00A75336">
                  <w:pPr>
                    <w:widowControl/>
                    <w:jc w:val="left"/>
                    <w:rPr>
                      <w:rFonts w:ascii="宋体" w:eastAsia="宋体" w:hAnsi="宋体" w:cs="宋体"/>
                      <w:color w:val="686868"/>
                      <w:kern w:val="0"/>
                      <w:sz w:val="18"/>
                      <w:szCs w:val="18"/>
                    </w:rPr>
                  </w:pPr>
                  <w:r w:rsidRPr="00A75336">
                    <w:rPr>
                      <w:rFonts w:ascii="宋体" w:eastAsia="宋体" w:hAnsi="宋体" w:cs="宋体"/>
                      <w:b/>
                      <w:bCs/>
                      <w:color w:val="686868"/>
                      <w:kern w:val="0"/>
                      <w:sz w:val="18"/>
                      <w:szCs w:val="18"/>
                    </w:rPr>
                    <w:t>发文日期:</w:t>
                  </w:r>
                  <w:r w:rsidRPr="00A75336">
                    <w:rPr>
                      <w:rFonts w:ascii="宋体" w:eastAsia="宋体" w:hAnsi="宋体" w:cs="宋体"/>
                      <w:color w:val="686868"/>
                      <w:kern w:val="0"/>
                      <w:sz w:val="18"/>
                      <w:szCs w:val="18"/>
                    </w:rPr>
                    <w:t> 2017年06月02日</w:t>
                  </w:r>
                </w:p>
              </w:tc>
            </w:tr>
          </w:tbl>
          <w:p w:rsidR="00A75336" w:rsidRPr="00A75336" w:rsidRDefault="00A75336" w:rsidP="00A75336">
            <w:pPr>
              <w:widowControl/>
              <w:jc w:val="left"/>
              <w:rPr>
                <w:rFonts w:ascii="宋体" w:eastAsia="宋体" w:hAnsi="宋体" w:cs="宋体"/>
                <w:color w:val="686868"/>
                <w:kern w:val="0"/>
                <w:sz w:val="18"/>
                <w:szCs w:val="18"/>
              </w:rPr>
            </w:pPr>
          </w:p>
        </w:tc>
      </w:tr>
      <w:tr w:rsidR="00A75336" w:rsidRPr="00A75336" w:rsidTr="00A75336">
        <w:trPr>
          <w:tblCellSpacing w:w="0" w:type="dxa"/>
          <w:jc w:val="center"/>
        </w:trPr>
        <w:tc>
          <w:tcPr>
            <w:tcW w:w="0" w:type="auto"/>
            <w:tcMar>
              <w:top w:w="30" w:type="dxa"/>
              <w:left w:w="30" w:type="dxa"/>
              <w:bottom w:w="30" w:type="dxa"/>
              <w:right w:w="30" w:type="dxa"/>
            </w:tcMar>
            <w:hideMark/>
          </w:tcPr>
          <w:p w:rsidR="00A75336" w:rsidRPr="00A75336" w:rsidRDefault="00A75336" w:rsidP="00A75336">
            <w:pPr>
              <w:widowControl/>
              <w:jc w:val="left"/>
              <w:rPr>
                <w:rFonts w:ascii="宋体" w:eastAsia="宋体" w:hAnsi="宋体" w:cs="宋体"/>
                <w:color w:val="686868"/>
                <w:kern w:val="0"/>
                <w:sz w:val="18"/>
                <w:szCs w:val="18"/>
              </w:rPr>
            </w:pPr>
            <w:r w:rsidRPr="00A75336">
              <w:rPr>
                <w:rFonts w:ascii="宋体" w:eastAsia="宋体" w:hAnsi="宋体" w:cs="宋体"/>
                <w:b/>
                <w:bCs/>
                <w:color w:val="686868"/>
                <w:kern w:val="0"/>
                <w:sz w:val="18"/>
                <w:szCs w:val="18"/>
              </w:rPr>
              <w:t>名　　称:</w:t>
            </w:r>
            <w:r w:rsidRPr="00A75336">
              <w:rPr>
                <w:rFonts w:ascii="宋体" w:eastAsia="宋体" w:hAnsi="宋体" w:cs="宋体"/>
                <w:color w:val="686868"/>
                <w:kern w:val="0"/>
                <w:sz w:val="18"/>
                <w:szCs w:val="18"/>
              </w:rPr>
              <w:t> 中国证监会行政处罚决定书（苏建朝）</w:t>
            </w:r>
          </w:p>
        </w:tc>
      </w:tr>
      <w:tr w:rsidR="00A75336" w:rsidRPr="00A75336" w:rsidTr="00A7533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75336" w:rsidRPr="00A75336">
              <w:trPr>
                <w:tblCellSpacing w:w="0" w:type="dxa"/>
              </w:trPr>
              <w:tc>
                <w:tcPr>
                  <w:tcW w:w="2500" w:type="pct"/>
                  <w:tcMar>
                    <w:top w:w="30" w:type="dxa"/>
                    <w:left w:w="30" w:type="dxa"/>
                    <w:bottom w:w="30" w:type="dxa"/>
                    <w:right w:w="30" w:type="dxa"/>
                  </w:tcMar>
                  <w:hideMark/>
                </w:tcPr>
                <w:p w:rsidR="00A75336" w:rsidRPr="00A75336" w:rsidRDefault="00A75336" w:rsidP="00A75336">
                  <w:pPr>
                    <w:widowControl/>
                    <w:jc w:val="left"/>
                    <w:rPr>
                      <w:rFonts w:ascii="宋体" w:eastAsia="宋体" w:hAnsi="宋体" w:cs="宋体"/>
                      <w:color w:val="686868"/>
                      <w:kern w:val="0"/>
                      <w:sz w:val="18"/>
                      <w:szCs w:val="18"/>
                    </w:rPr>
                  </w:pPr>
                  <w:r w:rsidRPr="00A75336">
                    <w:rPr>
                      <w:rFonts w:ascii="宋体" w:eastAsia="宋体" w:hAnsi="宋体" w:cs="宋体"/>
                      <w:b/>
                      <w:bCs/>
                      <w:color w:val="686868"/>
                      <w:kern w:val="0"/>
                      <w:sz w:val="18"/>
                      <w:szCs w:val="18"/>
                    </w:rPr>
                    <w:t>文　　号:</w:t>
                  </w:r>
                  <w:r w:rsidRPr="00A75336">
                    <w:rPr>
                      <w:rFonts w:ascii="宋体" w:eastAsia="宋体" w:hAnsi="宋体" w:cs="宋体"/>
                      <w:color w:val="686868"/>
                      <w:kern w:val="0"/>
                      <w:sz w:val="18"/>
                      <w:szCs w:val="18"/>
                    </w:rPr>
                    <w:t> </w:t>
                  </w:r>
                  <w:bookmarkStart w:id="0" w:name="_GoBack"/>
                  <w:r w:rsidRPr="00A75336">
                    <w:rPr>
                      <w:rFonts w:ascii="宋体" w:eastAsia="宋体" w:hAnsi="宋体" w:cs="宋体"/>
                      <w:color w:val="686868"/>
                      <w:kern w:val="0"/>
                      <w:sz w:val="18"/>
                      <w:szCs w:val="18"/>
                    </w:rPr>
                    <w:t>〔2017〕65号</w:t>
                  </w:r>
                  <w:bookmarkEnd w:id="0"/>
                </w:p>
              </w:tc>
              <w:tc>
                <w:tcPr>
                  <w:tcW w:w="0" w:type="auto"/>
                  <w:tcMar>
                    <w:top w:w="30" w:type="dxa"/>
                    <w:left w:w="30" w:type="dxa"/>
                    <w:bottom w:w="30" w:type="dxa"/>
                    <w:right w:w="30" w:type="dxa"/>
                  </w:tcMar>
                  <w:hideMark/>
                </w:tcPr>
                <w:p w:rsidR="00A75336" w:rsidRPr="00A75336" w:rsidRDefault="00A75336" w:rsidP="00A75336">
                  <w:pPr>
                    <w:widowControl/>
                    <w:jc w:val="left"/>
                    <w:rPr>
                      <w:rFonts w:ascii="宋体" w:eastAsia="宋体" w:hAnsi="宋体" w:cs="宋体"/>
                      <w:color w:val="686868"/>
                      <w:kern w:val="0"/>
                      <w:sz w:val="18"/>
                      <w:szCs w:val="18"/>
                    </w:rPr>
                  </w:pPr>
                  <w:r w:rsidRPr="00A75336">
                    <w:rPr>
                      <w:rFonts w:ascii="宋体" w:eastAsia="宋体" w:hAnsi="宋体" w:cs="宋体"/>
                      <w:b/>
                      <w:bCs/>
                      <w:color w:val="686868"/>
                      <w:kern w:val="0"/>
                      <w:sz w:val="18"/>
                      <w:szCs w:val="18"/>
                    </w:rPr>
                    <w:t>主 题 词:</w:t>
                  </w:r>
                </w:p>
              </w:tc>
            </w:tr>
          </w:tbl>
          <w:p w:rsidR="00A75336" w:rsidRPr="00A75336" w:rsidRDefault="00A75336" w:rsidP="00A75336">
            <w:pPr>
              <w:widowControl/>
              <w:jc w:val="left"/>
              <w:rPr>
                <w:rFonts w:ascii="宋体" w:eastAsia="宋体" w:hAnsi="宋体" w:cs="宋体"/>
                <w:color w:val="686868"/>
                <w:kern w:val="0"/>
                <w:sz w:val="18"/>
                <w:szCs w:val="18"/>
              </w:rPr>
            </w:pPr>
          </w:p>
        </w:tc>
      </w:tr>
    </w:tbl>
    <w:p w:rsidR="00A75336" w:rsidRPr="00A75336" w:rsidRDefault="00A75336" w:rsidP="00A75336">
      <w:pPr>
        <w:widowControl/>
        <w:jc w:val="center"/>
        <w:rPr>
          <w:rFonts w:ascii="微软雅黑" w:eastAsia="微软雅黑" w:hAnsi="微软雅黑" w:cs="宋体"/>
          <w:color w:val="000000"/>
          <w:kern w:val="0"/>
          <w:sz w:val="18"/>
          <w:szCs w:val="18"/>
        </w:rPr>
      </w:pPr>
      <w:r w:rsidRPr="00A7533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75336" w:rsidRPr="00A75336" w:rsidRDefault="00A75336" w:rsidP="00A75336">
      <w:pPr>
        <w:widowControl/>
        <w:shd w:val="clear" w:color="auto" w:fill="FFFFFF"/>
        <w:spacing w:after="240"/>
        <w:jc w:val="center"/>
        <w:rPr>
          <w:rFonts w:ascii="微软雅黑" w:eastAsia="微软雅黑" w:hAnsi="微软雅黑" w:cs="宋体" w:hint="eastAsia"/>
          <w:color w:val="000000"/>
          <w:kern w:val="0"/>
          <w:sz w:val="18"/>
          <w:szCs w:val="18"/>
        </w:rPr>
      </w:pPr>
      <w:r w:rsidRPr="00A75336">
        <w:rPr>
          <w:rFonts w:ascii="微软雅黑" w:eastAsia="微软雅黑" w:hAnsi="微软雅黑" w:cs="宋体" w:hint="eastAsia"/>
          <w:color w:val="000000"/>
          <w:kern w:val="0"/>
          <w:sz w:val="18"/>
          <w:szCs w:val="18"/>
        </w:rPr>
        <w:br/>
      </w:r>
      <w:r w:rsidRPr="00A75336">
        <w:rPr>
          <w:rFonts w:ascii="黑体" w:eastAsia="黑体" w:hAnsi="黑体" w:cs="宋体" w:hint="eastAsia"/>
          <w:b/>
          <w:bCs/>
          <w:color w:val="FF0000"/>
          <w:kern w:val="0"/>
          <w:sz w:val="36"/>
          <w:szCs w:val="36"/>
        </w:rPr>
        <w:t>中国证监会行政处罚决定书（苏建朝）</w:t>
      </w:r>
    </w:p>
    <w:p w:rsidR="00A75336" w:rsidRPr="00A75336" w:rsidRDefault="00A75336" w:rsidP="00A75336">
      <w:pPr>
        <w:widowControl/>
        <w:shd w:val="clear" w:color="auto" w:fill="FFFFFF"/>
        <w:spacing w:line="360" w:lineRule="atLeast"/>
        <w:jc w:val="center"/>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〔2017〕65号</w:t>
      </w:r>
    </w:p>
    <w:p w:rsidR="00A75336" w:rsidRPr="00A75336" w:rsidRDefault="00A75336" w:rsidP="00A75336">
      <w:pPr>
        <w:widowControl/>
        <w:shd w:val="clear" w:color="auto" w:fill="FFFFFF"/>
        <w:spacing w:line="360" w:lineRule="atLeast"/>
        <w:jc w:val="left"/>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 </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当事人：苏建朝，男，1958年12月出生，前卫投资管理咨询有限公司董事长。住址：山东省济南市。</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依据《中华人民共和国证券法》（以下简称《证券法》）的有关规定，我会对苏建朝内幕交易中科英华高技术股份有限公司（以下简称中科英华）股票案进行了立案调查、审理，并依法向当事人告知了</w:t>
      </w:r>
      <w:proofErr w:type="gramStart"/>
      <w:r w:rsidRPr="00A75336">
        <w:rPr>
          <w:rFonts w:ascii="宋体" w:eastAsia="宋体" w:hAnsi="宋体" w:cs="宋体" w:hint="eastAsia"/>
          <w:color w:val="000000"/>
          <w:kern w:val="0"/>
          <w:szCs w:val="21"/>
        </w:rPr>
        <w:t>作出</w:t>
      </w:r>
      <w:proofErr w:type="gramEnd"/>
      <w:r w:rsidRPr="00A75336">
        <w:rPr>
          <w:rFonts w:ascii="宋体" w:eastAsia="宋体" w:hAnsi="宋体" w:cs="宋体" w:hint="eastAsia"/>
          <w:color w:val="000000"/>
          <w:kern w:val="0"/>
          <w:szCs w:val="21"/>
        </w:rPr>
        <w:t>行政处罚的事实、理由、依据及当事人依法享有的权利。应当事人的要求，我会举行听证会，听取了其陈述、申辩。本案现已调查、审理终结。</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经查明，当事人存在以下违法事实：</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一、内幕信息形成与终止过程</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2012年10月19日，中间人高某给山东天业房地产开发集团有限公司（以下简称天业集团）董事长曾某秦打电话说有个公司想做黄金方面业务，没有说公司名称，询问曾某秦有无合作意向，曾某秦表示可以由高某出面商谈。</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2012年10月22日，高某打电话给曾某秦说对方公司是中科英华，双方对报价进行了商议。曾某秦在接到高某电话的当天或第二天（10月23日）就计划与中科英华商谈收购山东天业黄金矿业有限公司（天业集团全资子公司，以下简称天业黄金）事宜与天业集团副董事长冯某露进行了商讨。</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2012年10月19日至29日期间，高某与曾某秦又多次联系，高某向曾某秦表示中科英华计划收购天业黄金90%的股权，收购价格不低于山东天业恒基股份有限公司（以下简称天业股份）2012年9月收购天业黄金10%股权时的价格。</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2012年10月29日，曾某秦在上海与高某商谈中科英华收购天业黄金90%股权的价格、付款方式、定金、合同条款等具体事项。</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2012年11月18日，曾某秦去上海与中科英华董事长王某刚等人商谈了中科英华收购天业黄金90%股权事项，双方当天正式签署了《合作意向书》。</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2012年11月19日，中科英华停牌。</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lastRenderedPageBreak/>
        <w:t>2013年1月6日，天业集团向中科英华发出《解除合同通知书》。1月22日，中科英华回函同意解除《合作意向书》。</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综上，中科英华拟收购天业集团所持有的天业黄金90%股权的事项属于《证券法》第六十七条第二款第（二）项规定的“公司的重大投资行为和重大的购置财产的决定”，是《证券法》第七十五条第二款第（一）项规定的内幕信息。内幕信息形成于2012年10月22日，终止于2013年1月22日，冯某露为内幕信息知情人，知悉天业集团打算与中科英华商谈收购天业黄金事项的时间不迟于2012年10月23日。</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二、苏建朝内幕交易“中科英华”</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苏建朝实际控制使用“苏建朝”“常某萍”“张某华”“徐某美”“赵某红”“张某蔚”“黄某明”等7个证券账户交易“中科英华”，且交易行为明显异常，具体情况如下：</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苏建朝”证券账户：2012年11月12日至11月16日，“苏建朝”证券账户陆续买入“中科英华”863,000股，买入金额3,054,046元。2013年3月18日至5月17日，“苏建朝”证券账户共卖出“中科英华”863,000股，卖出金额5,458,598.08元。</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“常某萍”证券账户：2012年11月14日，“常某萍”证券账户买入“中科英华”172,300股，买入金额614,247元。2013年3月18日，“常某萍”证券账户卖出“中科英华”172,300股，卖出金额1,100,997元。</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“张某华”证券账户：2012年11月16日，“张某华”证券账户买入“中科英华”177,149股，买入金额619,268.04元。2013年3月18日，“张某华”证券账户卖出“中科英华”177,149股，卖出金额1,124,896.15元。</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“徐某美”证券账户：2012年11月16日，“徐某美”证券账户买入“中科英华”560,200股，买入金额1,979,806元。2013年3月18日，“徐某美”证券账户卖出“中科英华”560,200股，卖出金额3,529,801元。</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“赵某红”证券账户：2012年11月12日至11月14日，“赵某红”证券账户陆续买入“中科英华”648,000股，买入金额2,296,664元。2013年3月18日，“赵某红”证券账户卖出“中科英华”648,000股，卖出金额4,147,200元。</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张某蔚”证券账户：2012年11月15日至11月16日，“张某蔚”证券账户陆续买入“中科英华”393,900股，买入金额1,385,045元。11月16日，“张某蔚”证券账户卖出“中科英华”30,000股，卖出金额104,136元。2013年3月18日，卖出“中科英华”363,900股，卖出金额2,314,325元。</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“黄某明”证券账户：2012年11月15日，“黄某明”证券账户买入“中科英华”368,800股，买入金额1,297,983元。2013年3月18日，“黄某明”证券账户卖出“中科英华”368,800股，卖出金额2,360,320元。</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苏建朝实际控制的上述账户共盈利8,777,001.14元。</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苏建朝与冯某露关系密切。冯某露是济南聊城商会会长，苏建朝担任副会长职务。2010年下半年开始，苏建朝的前卫投资管理咨询有限公司与天业集团经常有资金往来。苏建朝和冯某露在2012年7月至12月之间电话联系频繁，且于2012年11月7日有过通话，然而调查时两人手机通讯录都没有</w:t>
      </w:r>
      <w:proofErr w:type="gramStart"/>
      <w:r w:rsidRPr="00A75336">
        <w:rPr>
          <w:rFonts w:ascii="宋体" w:eastAsia="宋体" w:hAnsi="宋体" w:cs="宋体" w:hint="eastAsia"/>
          <w:color w:val="000000"/>
          <w:kern w:val="0"/>
          <w:szCs w:val="21"/>
        </w:rPr>
        <w:t>存对方</w:t>
      </w:r>
      <w:proofErr w:type="gramEnd"/>
      <w:r w:rsidRPr="00A75336">
        <w:rPr>
          <w:rFonts w:ascii="宋体" w:eastAsia="宋体" w:hAnsi="宋体" w:cs="宋体" w:hint="eastAsia"/>
          <w:color w:val="000000"/>
          <w:kern w:val="0"/>
          <w:szCs w:val="21"/>
        </w:rPr>
        <w:t>号码，双方均未</w:t>
      </w:r>
      <w:proofErr w:type="gramStart"/>
      <w:r w:rsidRPr="00A75336">
        <w:rPr>
          <w:rFonts w:ascii="宋体" w:eastAsia="宋体" w:hAnsi="宋体" w:cs="宋体" w:hint="eastAsia"/>
          <w:color w:val="000000"/>
          <w:kern w:val="0"/>
          <w:szCs w:val="21"/>
        </w:rPr>
        <w:t>作出</w:t>
      </w:r>
      <w:proofErr w:type="gramEnd"/>
      <w:r w:rsidRPr="00A75336">
        <w:rPr>
          <w:rFonts w:ascii="宋体" w:eastAsia="宋体" w:hAnsi="宋体" w:cs="宋体" w:hint="eastAsia"/>
          <w:color w:val="000000"/>
          <w:kern w:val="0"/>
          <w:szCs w:val="21"/>
        </w:rPr>
        <w:t>合理解释。</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lastRenderedPageBreak/>
        <w:t>综上，苏建朝与冯某露关系密切，双方在内幕信息敏感期内有通话联系，苏建朝交易“中科英华”行为明显异常，认定苏建朝内幕交易“中科英华”事实清楚、证据充分。</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上述事实，有中科英华公告、询问笔录、讯问笔录、通话记录、证券账户资料、交易流水、银行账户资料等证据证明，足以认定。</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苏建朝的上述行为违反《证券法》第七十三条、第七十六条第一款的规定，构成《证券法》第二百零二条所述内幕交易行为。</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苏建朝及其代理人在听证中提出以下申辩意见：1. 冯某露是2012年11月19</w:t>
      </w:r>
      <w:proofErr w:type="gramStart"/>
      <w:r w:rsidRPr="00A75336">
        <w:rPr>
          <w:rFonts w:ascii="宋体" w:eastAsia="宋体" w:hAnsi="宋体" w:cs="宋体" w:hint="eastAsia"/>
          <w:color w:val="000000"/>
          <w:kern w:val="0"/>
          <w:szCs w:val="21"/>
        </w:rPr>
        <w:t>日中科英华停牌</w:t>
      </w:r>
      <w:proofErr w:type="gramEnd"/>
      <w:r w:rsidRPr="00A75336">
        <w:rPr>
          <w:rFonts w:ascii="宋体" w:eastAsia="宋体" w:hAnsi="宋体" w:cs="宋体" w:hint="eastAsia"/>
          <w:color w:val="000000"/>
          <w:kern w:val="0"/>
          <w:szCs w:val="21"/>
        </w:rPr>
        <w:t>后才知悉中科英华与天业集团合作事项。曾某秦行政调查阶段的询问笔录与其他被调查人笔录内容不相符，是由于其记忆错误导致，不应作为主要的认定依据，应以刑事调查阶段笔录内容为准。</w:t>
      </w:r>
      <w:r w:rsidRPr="00A75336">
        <w:rPr>
          <w:rFonts w:ascii="宋体" w:eastAsia="宋体" w:hAnsi="宋体" w:cs="宋体" w:hint="eastAsia"/>
          <w:color w:val="000000"/>
          <w:spacing w:val="3"/>
          <w:kern w:val="0"/>
          <w:szCs w:val="21"/>
        </w:rPr>
        <w:t>2. 苏建朝交易“中科英华”有正当理由和正当信息来源，其交易行为是基于自己的分析判断。</w:t>
      </w:r>
      <w:r w:rsidRPr="00A75336">
        <w:rPr>
          <w:rFonts w:ascii="宋体" w:eastAsia="宋体" w:hAnsi="宋体" w:cs="宋体" w:hint="eastAsia"/>
          <w:color w:val="000000"/>
          <w:kern w:val="0"/>
          <w:szCs w:val="21"/>
        </w:rPr>
        <w:t>3. 苏建朝不符合内幕交易行政处罚的主体范围。4. 苏建朝与冯某露虽然认识但关系并不密切，只有业务和工作上的联系。5. 苏建朝的交易行为没有明显异常。</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我会认为：1. 高某于2012年10</w:t>
      </w:r>
      <w:proofErr w:type="gramStart"/>
      <w:r w:rsidRPr="00A75336">
        <w:rPr>
          <w:rFonts w:ascii="宋体" w:eastAsia="宋体" w:hAnsi="宋体" w:cs="宋体" w:hint="eastAsia"/>
          <w:color w:val="000000"/>
          <w:kern w:val="0"/>
          <w:szCs w:val="21"/>
        </w:rPr>
        <w:t>月分</w:t>
      </w:r>
      <w:proofErr w:type="gramEnd"/>
      <w:r w:rsidRPr="00A75336">
        <w:rPr>
          <w:rFonts w:ascii="宋体" w:eastAsia="宋体" w:hAnsi="宋体" w:cs="宋体" w:hint="eastAsia"/>
          <w:color w:val="000000"/>
          <w:kern w:val="0"/>
          <w:szCs w:val="21"/>
        </w:rPr>
        <w:t>别与中科英华实际控制人郑某刚、天业集团董事长曾某秦接触，并取得了就协调商谈本案内幕信息所涉事项的双方授权。依据多人相互印证的询问笔录，可以认定高某具有中间人的身份。一是中科英华实际控制人郑某刚在询问笔录中表示，2012年11月左右高某在和自己打球时说其有许多资源可以注入中科英华，郑某刚告诉高某如果他有意向和自己合作，可以去</w:t>
      </w:r>
      <w:proofErr w:type="gramStart"/>
      <w:r w:rsidRPr="00A75336">
        <w:rPr>
          <w:rFonts w:ascii="宋体" w:eastAsia="宋体" w:hAnsi="宋体" w:cs="宋体" w:hint="eastAsia"/>
          <w:color w:val="000000"/>
          <w:kern w:val="0"/>
          <w:szCs w:val="21"/>
        </w:rPr>
        <w:t>找上市</w:t>
      </w:r>
      <w:proofErr w:type="gramEnd"/>
      <w:r w:rsidRPr="00A75336">
        <w:rPr>
          <w:rFonts w:ascii="宋体" w:eastAsia="宋体" w:hAnsi="宋体" w:cs="宋体" w:hint="eastAsia"/>
          <w:color w:val="000000"/>
          <w:kern w:val="0"/>
          <w:szCs w:val="21"/>
        </w:rPr>
        <w:t>公司（即中科英华）董事长。二是天业集团董事长曾某秦在询问笔录中表示，2012年10月19日高某给自己打电话说有个公司想做黄金方面业务，没有说公司名称，询问曾某秦有无合作意向，曾某秦表示可以由高某出面商谈；2012年10月19日至29日期间，高某与曾某秦又多次联系，高某向曾某秦表示中科英华计划收购天业黄金90%的股权，收购价格不低于天业股份2012年9月收购天业黄金10%股权时的价格。三是高某在询问笔录中说，2012年10月22日他打电话给曾某秦说对方公司是中科英华，两人对报价进行了商议；2012年10月29日曾某秦在上海与高某商谈收购的价格、付款方式、定金、合同条款等具体事宜；2012年11月18日曾某秦去上海与中科英华董事长王某刚等人商谈了中科英华收购天业黄金90%股权事项，双方当天正式签署了《合作意向书》。2. 曾某秦在行政调查阶段连续三次在询问笔录中承认其明确告知冯某露内幕信息的事实，内容一致、没有矛盾。半年之后在刑事调查阶段其又改口与其他当事人统一口径，辩解之前行政调查的三次笔录都是记忆错误，该解释不够合理充分。3. 根据冯某露的身份职责及其与曾某秦的工作关系，结合多人的询问笔录、以及与冯某露联络接触后苏建朝的异常交易行为等客观证据。综合判断，认定冯某露不晚于2012年10月23日知悉本案内幕信息的事实清楚、证据充分。4. 苏建朝控制他人的共计7个证券账户突击重仓买入“中科英华”，资金</w:t>
      </w:r>
      <w:proofErr w:type="gramStart"/>
      <w:r w:rsidRPr="00A75336">
        <w:rPr>
          <w:rFonts w:ascii="宋体" w:eastAsia="宋体" w:hAnsi="宋体" w:cs="宋体" w:hint="eastAsia"/>
          <w:color w:val="000000"/>
          <w:kern w:val="0"/>
          <w:szCs w:val="21"/>
        </w:rPr>
        <w:t>系临时</w:t>
      </w:r>
      <w:proofErr w:type="gramEnd"/>
      <w:r w:rsidRPr="00A75336">
        <w:rPr>
          <w:rFonts w:ascii="宋体" w:eastAsia="宋体" w:hAnsi="宋体" w:cs="宋体" w:hint="eastAsia"/>
          <w:color w:val="000000"/>
          <w:kern w:val="0"/>
          <w:szCs w:val="21"/>
        </w:rPr>
        <w:t>调入，交易量明显放大，所控制账户交易特征高度一致，交易时间和与冯某露联系时间高度吻合，交易行为明显异常，其未能</w:t>
      </w:r>
      <w:proofErr w:type="gramStart"/>
      <w:r w:rsidRPr="00A75336">
        <w:rPr>
          <w:rFonts w:ascii="宋体" w:eastAsia="宋体" w:hAnsi="宋体" w:cs="宋体" w:hint="eastAsia"/>
          <w:color w:val="000000"/>
          <w:kern w:val="0"/>
          <w:szCs w:val="21"/>
        </w:rPr>
        <w:t>作出</w:t>
      </w:r>
      <w:proofErr w:type="gramEnd"/>
      <w:r w:rsidRPr="00A75336">
        <w:rPr>
          <w:rFonts w:ascii="宋体" w:eastAsia="宋体" w:hAnsi="宋体" w:cs="宋体" w:hint="eastAsia"/>
          <w:color w:val="000000"/>
          <w:kern w:val="0"/>
          <w:szCs w:val="21"/>
        </w:rPr>
        <w:t>合理、充分的解释证明其交易行为有正当理由和正当信息来源，综合以上证据认定其为“非法获取内幕信息的人”。综上，对当事人的陈述、申辩意见不予采纳。</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lastRenderedPageBreak/>
        <w:t>根据当事人违法行为的事实、性质、情节与社会危害程度，依据《证券法》第二百零二条的规定，我会决定：没收苏建</w:t>
      </w:r>
      <w:proofErr w:type="gramStart"/>
      <w:r w:rsidRPr="00A75336">
        <w:rPr>
          <w:rFonts w:ascii="宋体" w:eastAsia="宋体" w:hAnsi="宋体" w:cs="宋体" w:hint="eastAsia"/>
          <w:color w:val="000000"/>
          <w:kern w:val="0"/>
          <w:szCs w:val="21"/>
        </w:rPr>
        <w:t>朝违法</w:t>
      </w:r>
      <w:proofErr w:type="gramEnd"/>
      <w:r w:rsidRPr="00A75336">
        <w:rPr>
          <w:rFonts w:ascii="宋体" w:eastAsia="宋体" w:hAnsi="宋体" w:cs="宋体" w:hint="eastAsia"/>
          <w:color w:val="000000"/>
          <w:kern w:val="0"/>
          <w:szCs w:val="21"/>
        </w:rPr>
        <w:t>所得8,777,001.14元，并处以8,777,001.14元罚款。</w:t>
      </w:r>
    </w:p>
    <w:p w:rsidR="00A75336" w:rsidRPr="00A75336" w:rsidRDefault="00A75336" w:rsidP="00A75336">
      <w:pPr>
        <w:widowControl/>
        <w:shd w:val="clear" w:color="auto" w:fill="FFFFFF"/>
        <w:spacing w:line="360" w:lineRule="atLeast"/>
        <w:ind w:firstLine="420"/>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A75336" w:rsidRPr="00A75336" w:rsidRDefault="00A75336" w:rsidP="00A75336">
      <w:pPr>
        <w:widowControl/>
        <w:shd w:val="clear" w:color="auto" w:fill="FFFFFF"/>
        <w:spacing w:line="360" w:lineRule="atLeast"/>
        <w:jc w:val="left"/>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 </w:t>
      </w:r>
    </w:p>
    <w:p w:rsidR="00A75336" w:rsidRPr="00A75336" w:rsidRDefault="00A75336" w:rsidP="00A75336">
      <w:pPr>
        <w:widowControl/>
        <w:shd w:val="clear" w:color="auto" w:fill="FFFFFF"/>
        <w:spacing w:line="360" w:lineRule="atLeast"/>
        <w:jc w:val="left"/>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 </w:t>
      </w:r>
    </w:p>
    <w:p w:rsidR="00A75336" w:rsidRPr="00A75336" w:rsidRDefault="00A75336" w:rsidP="00A75336">
      <w:pPr>
        <w:widowControl/>
        <w:shd w:val="clear" w:color="auto" w:fill="FFFFFF"/>
        <w:spacing w:line="360" w:lineRule="atLeast"/>
        <w:jc w:val="left"/>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 </w:t>
      </w:r>
    </w:p>
    <w:p w:rsidR="00A75336" w:rsidRPr="00A75336" w:rsidRDefault="00A75336" w:rsidP="00A75336">
      <w:pPr>
        <w:widowControl/>
        <w:shd w:val="clear" w:color="auto" w:fill="FFFFFF"/>
        <w:spacing w:line="360" w:lineRule="atLeast"/>
        <w:jc w:val="left"/>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 </w:t>
      </w:r>
    </w:p>
    <w:p w:rsidR="00A75336" w:rsidRPr="00A75336" w:rsidRDefault="00A75336" w:rsidP="00A7533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中国证监会</w:t>
      </w:r>
      <w:proofErr w:type="gramStart"/>
      <w:r w:rsidRPr="00A75336">
        <w:rPr>
          <w:rFonts w:ascii="宋体" w:eastAsia="宋体" w:hAnsi="宋体" w:cs="宋体" w:hint="eastAsia"/>
          <w:color w:val="000000"/>
          <w:kern w:val="0"/>
          <w:szCs w:val="21"/>
        </w:rPr>
        <w:t xml:space="preserve">　　 　　 </w:t>
      </w:r>
      <w:proofErr w:type="gramEnd"/>
    </w:p>
    <w:p w:rsidR="00A75336" w:rsidRPr="00A75336" w:rsidRDefault="00A75336" w:rsidP="00A7533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75336">
        <w:rPr>
          <w:rFonts w:ascii="宋体" w:eastAsia="宋体" w:hAnsi="宋体" w:cs="宋体" w:hint="eastAsia"/>
          <w:color w:val="000000"/>
          <w:kern w:val="0"/>
          <w:szCs w:val="21"/>
        </w:rPr>
        <w:t xml:space="preserve">2017年6月2日　　</w:t>
      </w:r>
      <w:proofErr w:type="gramStart"/>
      <w:r w:rsidRPr="00A75336">
        <w:rPr>
          <w:rFonts w:ascii="宋体" w:eastAsia="宋体" w:hAnsi="宋体" w:cs="宋体" w:hint="eastAsia"/>
          <w:color w:val="000000"/>
          <w:kern w:val="0"/>
          <w:szCs w:val="21"/>
        </w:rPr>
        <w:t xml:space="preserve">　　</w:t>
      </w:r>
      <w:proofErr w:type="gramEnd"/>
    </w:p>
    <w:p w:rsidR="00A75336" w:rsidRPr="00A75336" w:rsidRDefault="00A75336" w:rsidP="00A7533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75336" w:rsidRPr="00A75336" w:rsidTr="00A75336">
        <w:trPr>
          <w:tblCellSpacing w:w="15" w:type="dxa"/>
          <w:jc w:val="center"/>
        </w:trPr>
        <w:tc>
          <w:tcPr>
            <w:tcW w:w="900" w:type="dxa"/>
            <w:vAlign w:val="center"/>
            <w:hideMark/>
          </w:tcPr>
          <w:p w:rsidR="00A75336" w:rsidRPr="00A75336" w:rsidRDefault="00A75336" w:rsidP="00A75336">
            <w:pPr>
              <w:widowControl/>
              <w:jc w:val="left"/>
              <w:rPr>
                <w:rFonts w:ascii="宋体" w:eastAsia="宋体" w:hAnsi="宋体" w:cs="宋体" w:hint="eastAsia"/>
                <w:kern w:val="0"/>
                <w:sz w:val="18"/>
                <w:szCs w:val="18"/>
              </w:rPr>
            </w:pPr>
            <w:r w:rsidRPr="00A75336">
              <w:rPr>
                <w:rFonts w:ascii="宋体" w:eastAsia="宋体" w:hAnsi="宋体" w:cs="宋体"/>
                <w:kern w:val="0"/>
                <w:sz w:val="18"/>
                <w:szCs w:val="18"/>
              </w:rPr>
              <w:t> </w:t>
            </w:r>
          </w:p>
        </w:tc>
        <w:tc>
          <w:tcPr>
            <w:tcW w:w="1200" w:type="dxa"/>
            <w:vAlign w:val="center"/>
            <w:hideMark/>
          </w:tcPr>
          <w:p w:rsidR="00A75336" w:rsidRPr="00A75336" w:rsidRDefault="00A75336" w:rsidP="00A75336">
            <w:pPr>
              <w:widowControl/>
              <w:jc w:val="left"/>
              <w:rPr>
                <w:rFonts w:ascii="宋体" w:eastAsia="宋体" w:hAnsi="宋体" w:cs="宋体"/>
                <w:kern w:val="0"/>
                <w:sz w:val="18"/>
                <w:szCs w:val="18"/>
              </w:rPr>
            </w:pPr>
            <w:r w:rsidRPr="00A7533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75336" w:rsidRPr="00A75336" w:rsidRDefault="00A75336" w:rsidP="00A75336">
            <w:pPr>
              <w:widowControl/>
              <w:jc w:val="left"/>
              <w:rPr>
                <w:rFonts w:ascii="宋体" w:eastAsia="宋体" w:hAnsi="宋体" w:cs="宋体"/>
                <w:kern w:val="0"/>
                <w:sz w:val="18"/>
                <w:szCs w:val="18"/>
              </w:rPr>
            </w:pPr>
            <w:r w:rsidRPr="00A7533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75336" w:rsidRPr="00A75336" w:rsidRDefault="00A75336" w:rsidP="00A75336">
            <w:pPr>
              <w:widowControl/>
              <w:jc w:val="left"/>
              <w:rPr>
                <w:rFonts w:ascii="宋体" w:eastAsia="宋体" w:hAnsi="宋体" w:cs="宋体"/>
                <w:kern w:val="0"/>
                <w:sz w:val="18"/>
                <w:szCs w:val="18"/>
              </w:rPr>
            </w:pPr>
            <w:r w:rsidRPr="00A7533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75336" w:rsidRPr="00A75336" w:rsidRDefault="00A75336" w:rsidP="00A75336">
      <w:pPr>
        <w:widowControl/>
        <w:jc w:val="center"/>
        <w:rPr>
          <w:rFonts w:ascii="微软雅黑" w:eastAsia="微软雅黑" w:hAnsi="微软雅黑" w:cs="宋体"/>
          <w:color w:val="515151"/>
          <w:kern w:val="0"/>
          <w:sz w:val="18"/>
          <w:szCs w:val="18"/>
        </w:rPr>
      </w:pPr>
      <w:hyperlink r:id="rId11" w:tgtFrame="_blank" w:history="1">
        <w:r w:rsidRPr="00A75336">
          <w:rPr>
            <w:rFonts w:ascii="微软雅黑" w:eastAsia="微软雅黑" w:hAnsi="微软雅黑" w:cs="宋体" w:hint="eastAsia"/>
            <w:color w:val="0000FF"/>
            <w:kern w:val="0"/>
            <w:sz w:val="18"/>
            <w:szCs w:val="18"/>
            <w:u w:val="single"/>
          </w:rPr>
          <w:t>关于我们</w:t>
        </w:r>
      </w:hyperlink>
      <w:r w:rsidRPr="00A75336">
        <w:rPr>
          <w:rFonts w:ascii="微软雅黑" w:eastAsia="微软雅黑" w:hAnsi="微软雅黑" w:cs="宋体" w:hint="eastAsia"/>
          <w:color w:val="515151"/>
          <w:kern w:val="0"/>
          <w:sz w:val="18"/>
          <w:szCs w:val="18"/>
        </w:rPr>
        <w:t> - </w:t>
      </w:r>
      <w:hyperlink r:id="rId12" w:tgtFrame="_blank" w:history="1">
        <w:r w:rsidRPr="00A75336">
          <w:rPr>
            <w:rFonts w:ascii="微软雅黑" w:eastAsia="微软雅黑" w:hAnsi="微软雅黑" w:cs="宋体" w:hint="eastAsia"/>
            <w:color w:val="0000FF"/>
            <w:kern w:val="0"/>
            <w:sz w:val="18"/>
            <w:szCs w:val="18"/>
            <w:u w:val="single"/>
          </w:rPr>
          <w:t>法律声明</w:t>
        </w:r>
      </w:hyperlink>
      <w:r w:rsidRPr="00A75336">
        <w:rPr>
          <w:rFonts w:ascii="微软雅黑" w:eastAsia="微软雅黑" w:hAnsi="微软雅黑" w:cs="宋体" w:hint="eastAsia"/>
          <w:color w:val="515151"/>
          <w:kern w:val="0"/>
          <w:sz w:val="18"/>
          <w:szCs w:val="18"/>
        </w:rPr>
        <w:t> - </w:t>
      </w:r>
      <w:hyperlink r:id="rId13" w:tgtFrame="_blank" w:history="1">
        <w:r w:rsidRPr="00A75336">
          <w:rPr>
            <w:rFonts w:ascii="微软雅黑" w:eastAsia="微软雅黑" w:hAnsi="微软雅黑" w:cs="宋体" w:hint="eastAsia"/>
            <w:color w:val="0000FF"/>
            <w:kern w:val="0"/>
            <w:sz w:val="18"/>
            <w:szCs w:val="18"/>
            <w:u w:val="single"/>
          </w:rPr>
          <w:t>联系我们</w:t>
        </w:r>
      </w:hyperlink>
    </w:p>
    <w:p w:rsidR="00A75336" w:rsidRPr="00A75336" w:rsidRDefault="00A75336" w:rsidP="00A75336">
      <w:pPr>
        <w:widowControl/>
        <w:jc w:val="center"/>
        <w:rPr>
          <w:rFonts w:ascii="微软雅黑" w:eastAsia="微软雅黑" w:hAnsi="微软雅黑" w:cs="宋体" w:hint="eastAsia"/>
          <w:color w:val="515151"/>
          <w:kern w:val="0"/>
          <w:sz w:val="18"/>
          <w:szCs w:val="18"/>
        </w:rPr>
      </w:pPr>
      <w:r w:rsidRPr="00A75336">
        <w:rPr>
          <w:rFonts w:ascii="微软雅黑" w:eastAsia="微软雅黑" w:hAnsi="微软雅黑" w:cs="宋体" w:hint="eastAsia"/>
          <w:color w:val="515151"/>
          <w:kern w:val="0"/>
          <w:sz w:val="18"/>
          <w:szCs w:val="18"/>
        </w:rPr>
        <w:t>版权所有：中国证券监督管理委员会 京ICP备 05035542号</w:t>
      </w:r>
    </w:p>
    <w:p w:rsidR="00A75336" w:rsidRPr="00A75336" w:rsidRDefault="00A75336" w:rsidP="00A75336">
      <w:pPr>
        <w:widowControl/>
        <w:jc w:val="center"/>
        <w:rPr>
          <w:rFonts w:ascii="微软雅黑" w:eastAsia="微软雅黑" w:hAnsi="微软雅黑" w:cs="宋体" w:hint="eastAsia"/>
          <w:color w:val="515151"/>
          <w:kern w:val="0"/>
          <w:sz w:val="18"/>
          <w:szCs w:val="18"/>
        </w:rPr>
      </w:pPr>
      <w:r w:rsidRPr="00A75336">
        <w:rPr>
          <w:rFonts w:ascii="微软雅黑" w:eastAsia="微软雅黑" w:hAnsi="微软雅黑" w:cs="宋体" w:hint="eastAsia"/>
          <w:color w:val="515151"/>
          <w:kern w:val="0"/>
          <w:sz w:val="18"/>
          <w:szCs w:val="18"/>
        </w:rPr>
        <w:t>地址：北京市西城区金融大街19号富凯大厦A座 邮编：100033</w:t>
      </w:r>
    </w:p>
    <w:p w:rsidR="00A75336" w:rsidRPr="00A75336" w:rsidRDefault="00A75336" w:rsidP="00A75336">
      <w:pPr>
        <w:widowControl/>
        <w:jc w:val="center"/>
        <w:rPr>
          <w:rFonts w:ascii="微软雅黑" w:eastAsia="微软雅黑" w:hAnsi="微软雅黑" w:cs="宋体" w:hint="eastAsia"/>
          <w:color w:val="515151"/>
          <w:kern w:val="0"/>
          <w:sz w:val="18"/>
          <w:szCs w:val="18"/>
        </w:rPr>
      </w:pPr>
      <w:r w:rsidRPr="00A75336">
        <w:rPr>
          <w:rFonts w:ascii="微软雅黑" w:eastAsia="微软雅黑" w:hAnsi="微软雅黑" w:cs="宋体" w:hint="eastAsia"/>
          <w:color w:val="515151"/>
          <w:kern w:val="0"/>
          <w:sz w:val="18"/>
          <w:szCs w:val="18"/>
        </w:rPr>
        <w:t>建议使用IE5.5以上浏览器，分辨率1024*768</w:t>
      </w:r>
    </w:p>
    <w:p w:rsidR="00801F9F" w:rsidRPr="00A75336" w:rsidRDefault="00801F9F"/>
    <w:sectPr w:rsidR="00801F9F" w:rsidRPr="00A753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36"/>
    <w:rsid w:val="00801F9F"/>
    <w:rsid w:val="00A75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A1EA8-3BEE-4988-87D3-CD21BFE8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533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75336"/>
    <w:rPr>
      <w:b/>
      <w:bCs/>
    </w:rPr>
  </w:style>
  <w:style w:type="paragraph" w:customStyle="1" w:styleId="p0">
    <w:name w:val="p0"/>
    <w:basedOn w:val="a"/>
    <w:rsid w:val="00A75336"/>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A7533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753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756021">
      <w:bodyDiv w:val="1"/>
      <w:marLeft w:val="0"/>
      <w:marRight w:val="0"/>
      <w:marTop w:val="0"/>
      <w:marBottom w:val="0"/>
      <w:divBdr>
        <w:top w:val="none" w:sz="0" w:space="0" w:color="auto"/>
        <w:left w:val="none" w:sz="0" w:space="0" w:color="auto"/>
        <w:bottom w:val="none" w:sz="0" w:space="0" w:color="auto"/>
        <w:right w:val="none" w:sz="0" w:space="0" w:color="auto"/>
      </w:divBdr>
      <w:divsChild>
        <w:div w:id="1228540606">
          <w:marLeft w:val="0"/>
          <w:marRight w:val="0"/>
          <w:marTop w:val="150"/>
          <w:marBottom w:val="150"/>
          <w:divBdr>
            <w:top w:val="none" w:sz="0" w:space="0" w:color="auto"/>
            <w:left w:val="none" w:sz="0" w:space="0" w:color="auto"/>
            <w:bottom w:val="none" w:sz="0" w:space="0" w:color="auto"/>
            <w:right w:val="none" w:sz="0" w:space="0" w:color="auto"/>
          </w:divBdr>
        </w:div>
        <w:div w:id="188300774">
          <w:marLeft w:val="0"/>
          <w:marRight w:val="0"/>
          <w:marTop w:val="0"/>
          <w:marBottom w:val="0"/>
          <w:divBdr>
            <w:top w:val="single" w:sz="6" w:space="8" w:color="B5B5B5"/>
            <w:left w:val="single" w:sz="6" w:space="0" w:color="B5B5B5"/>
            <w:bottom w:val="single" w:sz="6" w:space="8" w:color="B5B5B5"/>
            <w:right w:val="single" w:sz="6" w:space="0" w:color="B5B5B5"/>
          </w:divBdr>
          <w:divsChild>
            <w:div w:id="409691918">
              <w:marLeft w:val="0"/>
              <w:marRight w:val="0"/>
              <w:marTop w:val="0"/>
              <w:marBottom w:val="0"/>
              <w:divBdr>
                <w:top w:val="none" w:sz="0" w:space="0" w:color="auto"/>
                <w:left w:val="none" w:sz="0" w:space="0" w:color="auto"/>
                <w:bottom w:val="none" w:sz="0" w:space="0" w:color="auto"/>
                <w:right w:val="none" w:sz="0" w:space="0" w:color="auto"/>
              </w:divBdr>
            </w:div>
            <w:div w:id="518159709">
              <w:marLeft w:val="0"/>
              <w:marRight w:val="0"/>
              <w:marTop w:val="0"/>
              <w:marBottom w:val="0"/>
              <w:divBdr>
                <w:top w:val="none" w:sz="0" w:space="0" w:color="auto"/>
                <w:left w:val="none" w:sz="0" w:space="0" w:color="auto"/>
                <w:bottom w:val="none" w:sz="0" w:space="0" w:color="auto"/>
                <w:right w:val="none" w:sz="0" w:space="0" w:color="auto"/>
              </w:divBdr>
            </w:div>
            <w:div w:id="1873688360">
              <w:marLeft w:val="0"/>
              <w:marRight w:val="0"/>
              <w:marTop w:val="120"/>
              <w:marBottom w:val="120"/>
              <w:divBdr>
                <w:top w:val="none" w:sz="0" w:space="0" w:color="auto"/>
                <w:left w:val="none" w:sz="0" w:space="0" w:color="auto"/>
                <w:bottom w:val="none" w:sz="0" w:space="0" w:color="auto"/>
                <w:right w:val="none" w:sz="0" w:space="0" w:color="auto"/>
              </w:divBdr>
            </w:div>
          </w:divsChild>
        </w:div>
        <w:div w:id="1679846571">
          <w:marLeft w:val="0"/>
          <w:marRight w:val="0"/>
          <w:marTop w:val="120"/>
          <w:marBottom w:val="0"/>
          <w:divBdr>
            <w:top w:val="none" w:sz="0" w:space="0" w:color="auto"/>
            <w:left w:val="none" w:sz="0" w:space="0" w:color="auto"/>
            <w:bottom w:val="none" w:sz="0" w:space="0" w:color="auto"/>
            <w:right w:val="none" w:sz="0" w:space="0" w:color="auto"/>
          </w:divBdr>
          <w:divsChild>
            <w:div w:id="1139373064">
              <w:marLeft w:val="0"/>
              <w:marRight w:val="0"/>
              <w:marTop w:val="60"/>
              <w:marBottom w:val="0"/>
              <w:divBdr>
                <w:top w:val="none" w:sz="0" w:space="0" w:color="auto"/>
                <w:left w:val="none" w:sz="0" w:space="0" w:color="auto"/>
                <w:bottom w:val="none" w:sz="0" w:space="0" w:color="auto"/>
                <w:right w:val="none" w:sz="0" w:space="0" w:color="auto"/>
              </w:divBdr>
            </w:div>
            <w:div w:id="1974208493">
              <w:marLeft w:val="0"/>
              <w:marRight w:val="0"/>
              <w:marTop w:val="60"/>
              <w:marBottom w:val="0"/>
              <w:divBdr>
                <w:top w:val="none" w:sz="0" w:space="0" w:color="auto"/>
                <w:left w:val="none" w:sz="0" w:space="0" w:color="auto"/>
                <w:bottom w:val="none" w:sz="0" w:space="0" w:color="auto"/>
                <w:right w:val="none" w:sz="0" w:space="0" w:color="auto"/>
              </w:divBdr>
            </w:div>
            <w:div w:id="230508999">
              <w:marLeft w:val="0"/>
              <w:marRight w:val="0"/>
              <w:marTop w:val="60"/>
              <w:marBottom w:val="0"/>
              <w:divBdr>
                <w:top w:val="none" w:sz="0" w:space="0" w:color="auto"/>
                <w:left w:val="none" w:sz="0" w:space="0" w:color="auto"/>
                <w:bottom w:val="none" w:sz="0" w:space="0" w:color="auto"/>
                <w:right w:val="none" w:sz="0" w:space="0" w:color="auto"/>
              </w:divBdr>
            </w:div>
            <w:div w:id="18855625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6/t20170607_31796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2020-02-17T14:24:00Z</dcterms:created>
  <dcterms:modified xsi:type="dcterms:W3CDTF">2020-02-17T14:24:00Z</dcterms:modified>
</cp:coreProperties>
</file>