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79F" w:rsidRPr="00DE179F" w:rsidRDefault="00DE179F" w:rsidP="00DE179F">
      <w:pPr>
        <w:widowControl/>
        <w:jc w:val="center"/>
        <w:rPr>
          <w:rFonts w:ascii="微软雅黑" w:eastAsia="微软雅黑" w:hAnsi="微软雅黑" w:cs="宋体"/>
          <w:color w:val="000000"/>
          <w:kern w:val="0"/>
          <w:sz w:val="18"/>
          <w:szCs w:val="18"/>
        </w:rPr>
      </w:pPr>
      <w:r w:rsidRPr="00DE179F">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DE179F" w:rsidRPr="00DE179F" w:rsidTr="00DE179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E179F" w:rsidRPr="00DE179F">
              <w:trPr>
                <w:tblCellSpacing w:w="0" w:type="dxa"/>
              </w:trPr>
              <w:tc>
                <w:tcPr>
                  <w:tcW w:w="2500" w:type="pct"/>
                  <w:tcMar>
                    <w:top w:w="30" w:type="dxa"/>
                    <w:left w:w="30" w:type="dxa"/>
                    <w:bottom w:w="30" w:type="dxa"/>
                    <w:right w:w="30" w:type="dxa"/>
                  </w:tcMar>
                  <w:hideMark/>
                </w:tcPr>
                <w:p w:rsidR="00DE179F" w:rsidRPr="00DE179F" w:rsidRDefault="00DE179F" w:rsidP="00DE179F">
                  <w:pPr>
                    <w:widowControl/>
                    <w:jc w:val="left"/>
                    <w:rPr>
                      <w:rFonts w:ascii="宋体" w:eastAsia="宋体" w:hAnsi="宋体" w:cs="宋体" w:hint="eastAsia"/>
                      <w:color w:val="686868"/>
                      <w:kern w:val="0"/>
                      <w:sz w:val="18"/>
                      <w:szCs w:val="18"/>
                    </w:rPr>
                  </w:pPr>
                  <w:r w:rsidRPr="00DE179F">
                    <w:rPr>
                      <w:rFonts w:ascii="宋体" w:eastAsia="宋体" w:hAnsi="宋体" w:cs="宋体"/>
                      <w:b/>
                      <w:bCs/>
                      <w:color w:val="686868"/>
                      <w:kern w:val="0"/>
                      <w:sz w:val="18"/>
                      <w:szCs w:val="18"/>
                    </w:rPr>
                    <w:t>索 引 号:</w:t>
                  </w:r>
                  <w:r w:rsidRPr="00DE179F">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DE179F" w:rsidRPr="00DE179F" w:rsidRDefault="00DE179F" w:rsidP="00DE179F">
                  <w:pPr>
                    <w:widowControl/>
                    <w:jc w:val="left"/>
                    <w:rPr>
                      <w:rFonts w:ascii="宋体" w:eastAsia="宋体" w:hAnsi="宋体" w:cs="宋体"/>
                      <w:color w:val="686868"/>
                      <w:kern w:val="0"/>
                      <w:sz w:val="18"/>
                      <w:szCs w:val="18"/>
                    </w:rPr>
                  </w:pPr>
                  <w:r w:rsidRPr="00DE179F">
                    <w:rPr>
                      <w:rFonts w:ascii="宋体" w:eastAsia="宋体" w:hAnsi="宋体" w:cs="宋体"/>
                      <w:b/>
                      <w:bCs/>
                      <w:color w:val="686868"/>
                      <w:kern w:val="0"/>
                      <w:sz w:val="18"/>
                      <w:szCs w:val="18"/>
                    </w:rPr>
                    <w:t>分类:</w:t>
                  </w:r>
                  <w:r w:rsidRPr="00DE179F">
                    <w:rPr>
                      <w:rFonts w:ascii="宋体" w:eastAsia="宋体" w:hAnsi="宋体" w:cs="宋体"/>
                      <w:color w:val="686868"/>
                      <w:kern w:val="0"/>
                      <w:sz w:val="18"/>
                      <w:szCs w:val="18"/>
                    </w:rPr>
                    <w:t> 行政处罚 ; 行政处罚决定</w:t>
                  </w:r>
                </w:p>
              </w:tc>
            </w:tr>
          </w:tbl>
          <w:p w:rsidR="00DE179F" w:rsidRPr="00DE179F" w:rsidRDefault="00DE179F" w:rsidP="00DE179F">
            <w:pPr>
              <w:widowControl/>
              <w:jc w:val="left"/>
              <w:rPr>
                <w:rFonts w:ascii="宋体" w:eastAsia="宋体" w:hAnsi="宋体" w:cs="宋体"/>
                <w:color w:val="686868"/>
                <w:kern w:val="0"/>
                <w:sz w:val="18"/>
                <w:szCs w:val="18"/>
              </w:rPr>
            </w:pPr>
          </w:p>
        </w:tc>
      </w:tr>
      <w:tr w:rsidR="00DE179F" w:rsidRPr="00DE179F" w:rsidTr="00DE179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E179F" w:rsidRPr="00DE179F">
              <w:trPr>
                <w:tblCellSpacing w:w="0" w:type="dxa"/>
              </w:trPr>
              <w:tc>
                <w:tcPr>
                  <w:tcW w:w="2500" w:type="pct"/>
                  <w:tcMar>
                    <w:top w:w="30" w:type="dxa"/>
                    <w:left w:w="30" w:type="dxa"/>
                    <w:bottom w:w="30" w:type="dxa"/>
                    <w:right w:w="30" w:type="dxa"/>
                  </w:tcMar>
                  <w:hideMark/>
                </w:tcPr>
                <w:p w:rsidR="00DE179F" w:rsidRPr="00DE179F" w:rsidRDefault="00DE179F" w:rsidP="00DE179F">
                  <w:pPr>
                    <w:widowControl/>
                    <w:jc w:val="left"/>
                    <w:rPr>
                      <w:rFonts w:ascii="宋体" w:eastAsia="宋体" w:hAnsi="宋体" w:cs="宋体"/>
                      <w:color w:val="686868"/>
                      <w:kern w:val="0"/>
                      <w:sz w:val="18"/>
                      <w:szCs w:val="18"/>
                    </w:rPr>
                  </w:pPr>
                  <w:r w:rsidRPr="00DE179F">
                    <w:rPr>
                      <w:rFonts w:ascii="宋体" w:eastAsia="宋体" w:hAnsi="宋体" w:cs="宋体"/>
                      <w:b/>
                      <w:bCs/>
                      <w:color w:val="686868"/>
                      <w:kern w:val="0"/>
                      <w:sz w:val="18"/>
                      <w:szCs w:val="18"/>
                    </w:rPr>
                    <w:t>发布机构:</w:t>
                  </w:r>
                  <w:r w:rsidRPr="00DE179F">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DE179F" w:rsidRPr="00DE179F" w:rsidRDefault="00DE179F" w:rsidP="00DE179F">
                  <w:pPr>
                    <w:widowControl/>
                    <w:jc w:val="left"/>
                    <w:rPr>
                      <w:rFonts w:ascii="宋体" w:eastAsia="宋体" w:hAnsi="宋体" w:cs="宋体"/>
                      <w:color w:val="686868"/>
                      <w:kern w:val="0"/>
                      <w:sz w:val="18"/>
                      <w:szCs w:val="18"/>
                    </w:rPr>
                  </w:pPr>
                  <w:r w:rsidRPr="00DE179F">
                    <w:rPr>
                      <w:rFonts w:ascii="宋体" w:eastAsia="宋体" w:hAnsi="宋体" w:cs="宋体"/>
                      <w:b/>
                      <w:bCs/>
                      <w:color w:val="686868"/>
                      <w:kern w:val="0"/>
                      <w:sz w:val="18"/>
                      <w:szCs w:val="18"/>
                    </w:rPr>
                    <w:t>发文日期:</w:t>
                  </w:r>
                  <w:r w:rsidRPr="00DE179F">
                    <w:rPr>
                      <w:rFonts w:ascii="宋体" w:eastAsia="宋体" w:hAnsi="宋体" w:cs="宋体"/>
                      <w:color w:val="686868"/>
                      <w:kern w:val="0"/>
                      <w:sz w:val="18"/>
                      <w:szCs w:val="18"/>
                    </w:rPr>
                    <w:t> 2017年09月21日</w:t>
                  </w:r>
                </w:p>
              </w:tc>
            </w:tr>
          </w:tbl>
          <w:p w:rsidR="00DE179F" w:rsidRPr="00DE179F" w:rsidRDefault="00DE179F" w:rsidP="00DE179F">
            <w:pPr>
              <w:widowControl/>
              <w:jc w:val="left"/>
              <w:rPr>
                <w:rFonts w:ascii="宋体" w:eastAsia="宋体" w:hAnsi="宋体" w:cs="宋体"/>
                <w:color w:val="686868"/>
                <w:kern w:val="0"/>
                <w:sz w:val="18"/>
                <w:szCs w:val="18"/>
              </w:rPr>
            </w:pPr>
          </w:p>
        </w:tc>
      </w:tr>
      <w:tr w:rsidR="00DE179F" w:rsidRPr="00DE179F" w:rsidTr="00DE179F">
        <w:trPr>
          <w:tblCellSpacing w:w="0" w:type="dxa"/>
          <w:jc w:val="center"/>
        </w:trPr>
        <w:tc>
          <w:tcPr>
            <w:tcW w:w="0" w:type="auto"/>
            <w:tcMar>
              <w:top w:w="30" w:type="dxa"/>
              <w:left w:w="30" w:type="dxa"/>
              <w:bottom w:w="30" w:type="dxa"/>
              <w:right w:w="30" w:type="dxa"/>
            </w:tcMar>
            <w:hideMark/>
          </w:tcPr>
          <w:p w:rsidR="00DE179F" w:rsidRPr="00DE179F" w:rsidRDefault="00DE179F" w:rsidP="00DE179F">
            <w:pPr>
              <w:widowControl/>
              <w:jc w:val="left"/>
              <w:rPr>
                <w:rFonts w:ascii="宋体" w:eastAsia="宋体" w:hAnsi="宋体" w:cs="宋体"/>
                <w:color w:val="686868"/>
                <w:kern w:val="0"/>
                <w:sz w:val="18"/>
                <w:szCs w:val="18"/>
              </w:rPr>
            </w:pPr>
            <w:r w:rsidRPr="00DE179F">
              <w:rPr>
                <w:rFonts w:ascii="宋体" w:eastAsia="宋体" w:hAnsi="宋体" w:cs="宋体"/>
                <w:b/>
                <w:bCs/>
                <w:color w:val="686868"/>
                <w:kern w:val="0"/>
                <w:sz w:val="18"/>
                <w:szCs w:val="18"/>
              </w:rPr>
              <w:t>名　　称:</w:t>
            </w:r>
            <w:r w:rsidRPr="00DE179F">
              <w:rPr>
                <w:rFonts w:ascii="宋体" w:eastAsia="宋体" w:hAnsi="宋体" w:cs="宋体"/>
                <w:color w:val="686868"/>
                <w:kern w:val="0"/>
                <w:sz w:val="18"/>
                <w:szCs w:val="18"/>
              </w:rPr>
              <w:t> 中国证监会行政处罚决定书（刘岳均）</w:t>
            </w:r>
          </w:p>
        </w:tc>
      </w:tr>
      <w:tr w:rsidR="00DE179F" w:rsidRPr="00DE179F" w:rsidTr="00DE179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E179F" w:rsidRPr="00DE179F">
              <w:trPr>
                <w:tblCellSpacing w:w="0" w:type="dxa"/>
              </w:trPr>
              <w:tc>
                <w:tcPr>
                  <w:tcW w:w="2500" w:type="pct"/>
                  <w:tcMar>
                    <w:top w:w="30" w:type="dxa"/>
                    <w:left w:w="30" w:type="dxa"/>
                    <w:bottom w:w="30" w:type="dxa"/>
                    <w:right w:w="30" w:type="dxa"/>
                  </w:tcMar>
                  <w:hideMark/>
                </w:tcPr>
                <w:p w:rsidR="00DE179F" w:rsidRPr="00DE179F" w:rsidRDefault="00DE179F" w:rsidP="00DE179F">
                  <w:pPr>
                    <w:widowControl/>
                    <w:jc w:val="left"/>
                    <w:rPr>
                      <w:rFonts w:ascii="宋体" w:eastAsia="宋体" w:hAnsi="宋体" w:cs="宋体"/>
                      <w:color w:val="686868"/>
                      <w:kern w:val="0"/>
                      <w:sz w:val="18"/>
                      <w:szCs w:val="18"/>
                    </w:rPr>
                  </w:pPr>
                  <w:r w:rsidRPr="00DE179F">
                    <w:rPr>
                      <w:rFonts w:ascii="宋体" w:eastAsia="宋体" w:hAnsi="宋体" w:cs="宋体"/>
                      <w:b/>
                      <w:bCs/>
                      <w:color w:val="686868"/>
                      <w:kern w:val="0"/>
                      <w:sz w:val="18"/>
                      <w:szCs w:val="18"/>
                    </w:rPr>
                    <w:t>文　　号:</w:t>
                  </w:r>
                  <w:r w:rsidRPr="00DE179F">
                    <w:rPr>
                      <w:rFonts w:ascii="宋体" w:eastAsia="宋体" w:hAnsi="宋体" w:cs="宋体"/>
                      <w:color w:val="686868"/>
                      <w:kern w:val="0"/>
                      <w:sz w:val="18"/>
                      <w:szCs w:val="18"/>
                    </w:rPr>
                    <w:t> </w:t>
                  </w:r>
                  <w:bookmarkStart w:id="0" w:name="_GoBack"/>
                  <w:r w:rsidRPr="00DE179F">
                    <w:rPr>
                      <w:rFonts w:ascii="宋体" w:eastAsia="宋体" w:hAnsi="宋体" w:cs="宋体"/>
                      <w:color w:val="686868"/>
                      <w:kern w:val="0"/>
                      <w:sz w:val="18"/>
                      <w:szCs w:val="18"/>
                    </w:rPr>
                    <w:t>〔2017〕89号</w:t>
                  </w:r>
                  <w:bookmarkEnd w:id="0"/>
                </w:p>
              </w:tc>
              <w:tc>
                <w:tcPr>
                  <w:tcW w:w="0" w:type="auto"/>
                  <w:tcMar>
                    <w:top w:w="30" w:type="dxa"/>
                    <w:left w:w="30" w:type="dxa"/>
                    <w:bottom w:w="30" w:type="dxa"/>
                    <w:right w:w="30" w:type="dxa"/>
                  </w:tcMar>
                  <w:hideMark/>
                </w:tcPr>
                <w:p w:rsidR="00DE179F" w:rsidRPr="00DE179F" w:rsidRDefault="00DE179F" w:rsidP="00DE179F">
                  <w:pPr>
                    <w:widowControl/>
                    <w:jc w:val="left"/>
                    <w:rPr>
                      <w:rFonts w:ascii="宋体" w:eastAsia="宋体" w:hAnsi="宋体" w:cs="宋体"/>
                      <w:color w:val="686868"/>
                      <w:kern w:val="0"/>
                      <w:sz w:val="18"/>
                      <w:szCs w:val="18"/>
                    </w:rPr>
                  </w:pPr>
                  <w:r w:rsidRPr="00DE179F">
                    <w:rPr>
                      <w:rFonts w:ascii="宋体" w:eastAsia="宋体" w:hAnsi="宋体" w:cs="宋体"/>
                      <w:b/>
                      <w:bCs/>
                      <w:color w:val="686868"/>
                      <w:kern w:val="0"/>
                      <w:sz w:val="18"/>
                      <w:szCs w:val="18"/>
                    </w:rPr>
                    <w:t>主 题 词:</w:t>
                  </w:r>
                </w:p>
              </w:tc>
            </w:tr>
          </w:tbl>
          <w:p w:rsidR="00DE179F" w:rsidRPr="00DE179F" w:rsidRDefault="00DE179F" w:rsidP="00DE179F">
            <w:pPr>
              <w:widowControl/>
              <w:jc w:val="left"/>
              <w:rPr>
                <w:rFonts w:ascii="宋体" w:eastAsia="宋体" w:hAnsi="宋体" w:cs="宋体"/>
                <w:color w:val="686868"/>
                <w:kern w:val="0"/>
                <w:sz w:val="18"/>
                <w:szCs w:val="18"/>
              </w:rPr>
            </w:pPr>
          </w:p>
        </w:tc>
      </w:tr>
    </w:tbl>
    <w:p w:rsidR="00DE179F" w:rsidRPr="00DE179F" w:rsidRDefault="00DE179F" w:rsidP="00DE179F">
      <w:pPr>
        <w:widowControl/>
        <w:jc w:val="center"/>
        <w:rPr>
          <w:rFonts w:ascii="微软雅黑" w:eastAsia="微软雅黑" w:hAnsi="微软雅黑" w:cs="宋体"/>
          <w:color w:val="000000"/>
          <w:kern w:val="0"/>
          <w:sz w:val="18"/>
          <w:szCs w:val="18"/>
        </w:rPr>
      </w:pPr>
      <w:r w:rsidRPr="00DE179F">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DE179F" w:rsidRPr="00DE179F" w:rsidRDefault="00DE179F" w:rsidP="00DE179F">
      <w:pPr>
        <w:widowControl/>
        <w:shd w:val="clear" w:color="auto" w:fill="FFFFFF"/>
        <w:spacing w:after="240"/>
        <w:jc w:val="center"/>
        <w:rPr>
          <w:rFonts w:ascii="微软雅黑" w:eastAsia="微软雅黑" w:hAnsi="微软雅黑" w:cs="宋体" w:hint="eastAsia"/>
          <w:color w:val="000000"/>
          <w:kern w:val="0"/>
          <w:sz w:val="18"/>
          <w:szCs w:val="18"/>
        </w:rPr>
      </w:pPr>
      <w:r w:rsidRPr="00DE179F">
        <w:rPr>
          <w:rFonts w:ascii="微软雅黑" w:eastAsia="微软雅黑" w:hAnsi="微软雅黑" w:cs="宋体" w:hint="eastAsia"/>
          <w:color w:val="000000"/>
          <w:kern w:val="0"/>
          <w:sz w:val="18"/>
          <w:szCs w:val="18"/>
        </w:rPr>
        <w:br/>
      </w:r>
      <w:r w:rsidRPr="00DE179F">
        <w:rPr>
          <w:rFonts w:ascii="黑体" w:eastAsia="黑体" w:hAnsi="黑体" w:cs="宋体" w:hint="eastAsia"/>
          <w:b/>
          <w:bCs/>
          <w:color w:val="FF0000"/>
          <w:kern w:val="0"/>
          <w:sz w:val="36"/>
          <w:szCs w:val="36"/>
        </w:rPr>
        <w:t>中国证监会行政处罚决定书（刘岳均）</w:t>
      </w:r>
    </w:p>
    <w:p w:rsidR="00DE179F" w:rsidRPr="00DE179F" w:rsidRDefault="00DE179F" w:rsidP="00DE179F">
      <w:pPr>
        <w:widowControl/>
        <w:shd w:val="clear" w:color="auto" w:fill="FFFFFF"/>
        <w:spacing w:line="360" w:lineRule="atLeast"/>
        <w:jc w:val="center"/>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〔2017〕89号</w:t>
      </w:r>
    </w:p>
    <w:p w:rsidR="00DE179F" w:rsidRPr="00DE179F" w:rsidRDefault="00DE179F" w:rsidP="00DE179F">
      <w:pPr>
        <w:widowControl/>
        <w:shd w:val="clear" w:color="auto" w:fill="FFFFFF"/>
        <w:spacing w:line="360" w:lineRule="atLeast"/>
        <w:jc w:val="left"/>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 </w:t>
      </w:r>
    </w:p>
    <w:p w:rsidR="00DE179F" w:rsidRPr="00DE179F" w:rsidRDefault="00DE179F" w:rsidP="00DE179F">
      <w:pPr>
        <w:widowControl/>
        <w:shd w:val="clear" w:color="auto" w:fill="FFFFFF"/>
        <w:spacing w:line="360" w:lineRule="atLeast"/>
        <w:ind w:firstLine="420"/>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当事人：刘岳均，男，1971年3月出生，住址：四川省成都市高新区。</w:t>
      </w:r>
    </w:p>
    <w:p w:rsidR="00DE179F" w:rsidRPr="00DE179F" w:rsidRDefault="00DE179F" w:rsidP="00DE179F">
      <w:pPr>
        <w:widowControl/>
        <w:shd w:val="clear" w:color="auto" w:fill="FFFFFF"/>
        <w:spacing w:line="360" w:lineRule="atLeast"/>
        <w:ind w:firstLine="420"/>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依据《中华人民共和国证券法》（以下简称《证券法》）的有关规定，我会对刘岳均内幕交易恒康医疗集团股份有限公司（以下简称恒康医疗，原甘肃独一味生物制药股份有限公司）股票案进行了立案调查、审理，并依法向当事人告知了</w:t>
      </w:r>
      <w:proofErr w:type="gramStart"/>
      <w:r w:rsidRPr="00DE179F">
        <w:rPr>
          <w:rFonts w:ascii="宋体" w:eastAsia="宋体" w:hAnsi="宋体" w:cs="宋体" w:hint="eastAsia"/>
          <w:color w:val="000000"/>
          <w:kern w:val="0"/>
          <w:szCs w:val="21"/>
        </w:rPr>
        <w:t>作出</w:t>
      </w:r>
      <w:proofErr w:type="gramEnd"/>
      <w:r w:rsidRPr="00DE179F">
        <w:rPr>
          <w:rFonts w:ascii="宋体" w:eastAsia="宋体" w:hAnsi="宋体" w:cs="宋体" w:hint="eastAsia"/>
          <w:color w:val="000000"/>
          <w:kern w:val="0"/>
          <w:szCs w:val="21"/>
        </w:rPr>
        <w:t>行政处罚的事实、理由、依据及当事人依法享有的权利。应当事人的要求，我会举行听证会，听取了其陈述、申辩。本案现已调查、审理终结。</w:t>
      </w:r>
    </w:p>
    <w:p w:rsidR="00DE179F" w:rsidRPr="00DE179F" w:rsidRDefault="00DE179F" w:rsidP="00DE179F">
      <w:pPr>
        <w:widowControl/>
        <w:shd w:val="clear" w:color="auto" w:fill="FFFFFF"/>
        <w:spacing w:line="360" w:lineRule="atLeast"/>
        <w:ind w:firstLine="420"/>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经查明，当事人存在以下违法事实：</w:t>
      </w:r>
    </w:p>
    <w:p w:rsidR="00DE179F" w:rsidRPr="00DE179F" w:rsidRDefault="00DE179F" w:rsidP="00DE179F">
      <w:pPr>
        <w:widowControl/>
        <w:shd w:val="clear" w:color="auto" w:fill="FFFFFF"/>
        <w:spacing w:line="360" w:lineRule="atLeast"/>
        <w:ind w:firstLine="420"/>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一、内幕信息形成与公开过程</w:t>
      </w:r>
    </w:p>
    <w:p w:rsidR="00DE179F" w:rsidRPr="00DE179F" w:rsidRDefault="00DE179F" w:rsidP="00DE179F">
      <w:pPr>
        <w:widowControl/>
        <w:shd w:val="clear" w:color="auto" w:fill="FFFFFF"/>
        <w:spacing w:line="360" w:lineRule="atLeast"/>
        <w:ind w:firstLine="420"/>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2012年11月，为实现恒康医疗由制药向医疗服务的战略转型，时任恒康医疗董事长朱某、董事会秘书郭某负责着手寻找可收购的标的医院，收购医院的主体为恒康医疗子公司四川永道医疗投资有限公司（以下简称永道医疗）。</w:t>
      </w:r>
    </w:p>
    <w:p w:rsidR="00DE179F" w:rsidRPr="00DE179F" w:rsidRDefault="00DE179F" w:rsidP="00DE179F">
      <w:pPr>
        <w:widowControl/>
        <w:shd w:val="clear" w:color="auto" w:fill="FFFFFF"/>
        <w:spacing w:line="360" w:lineRule="atLeast"/>
        <w:ind w:firstLine="420"/>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朱某、郭某与四川省红十字肿瘤医院（以下简称红十字医院，2013年6月更名为成都平安医院）实际控制人刘岳均接触并洽谈收购红十字医院。永</w:t>
      </w:r>
      <w:proofErr w:type="gramStart"/>
      <w:r w:rsidRPr="00DE179F">
        <w:rPr>
          <w:rFonts w:ascii="宋体" w:eastAsia="宋体" w:hAnsi="宋体" w:cs="宋体" w:hint="eastAsia"/>
          <w:color w:val="000000"/>
          <w:kern w:val="0"/>
          <w:szCs w:val="21"/>
        </w:rPr>
        <w:t>道医疗</w:t>
      </w:r>
      <w:proofErr w:type="gramEnd"/>
      <w:r w:rsidRPr="00DE179F">
        <w:rPr>
          <w:rFonts w:ascii="宋体" w:eastAsia="宋体" w:hAnsi="宋体" w:cs="宋体" w:hint="eastAsia"/>
          <w:color w:val="000000"/>
          <w:kern w:val="0"/>
          <w:szCs w:val="21"/>
        </w:rPr>
        <w:t>于2013年1月10日签署协议用1.2亿元现金收购红十字医院肿瘤诊疗中心85%的收益权，期限15年。</w:t>
      </w:r>
    </w:p>
    <w:p w:rsidR="00DE179F" w:rsidRPr="00DE179F" w:rsidRDefault="00DE179F" w:rsidP="00DE179F">
      <w:pPr>
        <w:widowControl/>
        <w:shd w:val="clear" w:color="auto" w:fill="FFFFFF"/>
        <w:spacing w:line="360" w:lineRule="atLeast"/>
        <w:ind w:firstLine="420"/>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2013年3月，朱某和郭某通过刘岳均认识了</w:t>
      </w:r>
      <w:proofErr w:type="gramStart"/>
      <w:r w:rsidRPr="00DE179F">
        <w:rPr>
          <w:rFonts w:ascii="宋体" w:eastAsia="宋体" w:hAnsi="宋体" w:cs="宋体" w:hint="eastAsia"/>
          <w:color w:val="000000"/>
          <w:kern w:val="0"/>
          <w:szCs w:val="21"/>
        </w:rPr>
        <w:t>资阳健顺王</w:t>
      </w:r>
      <w:proofErr w:type="gramEnd"/>
      <w:r w:rsidRPr="00DE179F">
        <w:rPr>
          <w:rFonts w:ascii="宋体" w:eastAsia="宋体" w:hAnsi="宋体" w:cs="宋体" w:hint="eastAsia"/>
          <w:color w:val="000000"/>
          <w:kern w:val="0"/>
          <w:szCs w:val="21"/>
        </w:rPr>
        <w:t>体检医院有限公司（以下简称资阳医院）、德阳美好明天医院有限公司（以下简称德阳医院）和蓬溪</w:t>
      </w:r>
      <w:proofErr w:type="gramStart"/>
      <w:r w:rsidRPr="00DE179F">
        <w:rPr>
          <w:rFonts w:ascii="宋体" w:eastAsia="宋体" w:hAnsi="宋体" w:cs="宋体" w:hint="eastAsia"/>
          <w:color w:val="000000"/>
          <w:kern w:val="0"/>
          <w:szCs w:val="21"/>
        </w:rPr>
        <w:t>县健顺</w:t>
      </w:r>
      <w:proofErr w:type="gramEnd"/>
      <w:r w:rsidRPr="00DE179F">
        <w:rPr>
          <w:rFonts w:ascii="宋体" w:eastAsia="宋体" w:hAnsi="宋体" w:cs="宋体" w:hint="eastAsia"/>
          <w:color w:val="000000"/>
          <w:kern w:val="0"/>
          <w:szCs w:val="21"/>
        </w:rPr>
        <w:t>王中医（骨科）医院有限责任公司（以下简称蓬溪医院）的股东、法定代表人王</w:t>
      </w:r>
      <w:proofErr w:type="gramStart"/>
      <w:r w:rsidRPr="00DE179F">
        <w:rPr>
          <w:rFonts w:ascii="宋体" w:eastAsia="宋体" w:hAnsi="宋体" w:cs="宋体" w:hint="eastAsia"/>
          <w:color w:val="000000"/>
          <w:kern w:val="0"/>
          <w:szCs w:val="21"/>
        </w:rPr>
        <w:t>某忠并</w:t>
      </w:r>
      <w:proofErr w:type="gramEnd"/>
      <w:r w:rsidRPr="00DE179F">
        <w:rPr>
          <w:rFonts w:ascii="宋体" w:eastAsia="宋体" w:hAnsi="宋体" w:cs="宋体" w:hint="eastAsia"/>
          <w:color w:val="000000"/>
          <w:kern w:val="0"/>
          <w:szCs w:val="21"/>
        </w:rPr>
        <w:t>表明了收购其三家医院的意愿。</w:t>
      </w:r>
    </w:p>
    <w:p w:rsidR="00DE179F" w:rsidRPr="00DE179F" w:rsidRDefault="00DE179F" w:rsidP="00DE179F">
      <w:pPr>
        <w:widowControl/>
        <w:shd w:val="clear" w:color="auto" w:fill="FFFFFF"/>
        <w:spacing w:line="360" w:lineRule="atLeast"/>
        <w:ind w:firstLine="420"/>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2013年6月6日，恒康医疗签署收购资阳医院（收购价格2500万元）和德阳医院（收购价格1500万元）100%股权的协议，2013年6月7日予以公告。</w:t>
      </w:r>
    </w:p>
    <w:p w:rsidR="00DE179F" w:rsidRPr="00DE179F" w:rsidRDefault="00DE179F" w:rsidP="00DE179F">
      <w:pPr>
        <w:widowControl/>
        <w:shd w:val="clear" w:color="auto" w:fill="FFFFFF"/>
        <w:spacing w:line="360" w:lineRule="atLeast"/>
        <w:ind w:firstLine="420"/>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2013年6月27日，恒康医疗签署收购蓬溪医院（收购价格8000万元）100%股权的协议，2013年6月28日予以公告。</w:t>
      </w:r>
    </w:p>
    <w:p w:rsidR="00DE179F" w:rsidRPr="00DE179F" w:rsidRDefault="00DE179F" w:rsidP="00DE179F">
      <w:pPr>
        <w:widowControl/>
        <w:shd w:val="clear" w:color="auto" w:fill="FFFFFF"/>
        <w:spacing w:line="360" w:lineRule="atLeast"/>
        <w:ind w:firstLine="420"/>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综上，恒康医疗为了实现由制药向医疗服务的战略转型而以合计2.4亿元的交易价格相继收购红十字医院肿瘤诊疗中心、蓬溪医院等一系列医院的事项，构成了《证券法》第六</w:t>
      </w:r>
      <w:r w:rsidRPr="00DE179F">
        <w:rPr>
          <w:rFonts w:ascii="宋体" w:eastAsia="宋体" w:hAnsi="宋体" w:cs="宋体" w:hint="eastAsia"/>
          <w:color w:val="000000"/>
          <w:kern w:val="0"/>
          <w:szCs w:val="21"/>
        </w:rPr>
        <w:lastRenderedPageBreak/>
        <w:t>十七条第二款第（二）项规定的“公司的重大投资行为和重大的购置财产的决定”的重大事件，该信息公开前属于《证券法》第七十五条第二款第（一）项规定的内幕信息。2013年1月10日，永</w:t>
      </w:r>
      <w:proofErr w:type="gramStart"/>
      <w:r w:rsidRPr="00DE179F">
        <w:rPr>
          <w:rFonts w:ascii="宋体" w:eastAsia="宋体" w:hAnsi="宋体" w:cs="宋体" w:hint="eastAsia"/>
          <w:color w:val="000000"/>
          <w:kern w:val="0"/>
          <w:szCs w:val="21"/>
        </w:rPr>
        <w:t>道医疗</w:t>
      </w:r>
      <w:proofErr w:type="gramEnd"/>
      <w:r w:rsidRPr="00DE179F">
        <w:rPr>
          <w:rFonts w:ascii="宋体" w:eastAsia="宋体" w:hAnsi="宋体" w:cs="宋体" w:hint="eastAsia"/>
          <w:color w:val="000000"/>
          <w:kern w:val="0"/>
          <w:szCs w:val="21"/>
        </w:rPr>
        <w:t>与红十字医院股东签署收益权收购协议，恒康医疗继续与红十字医院实际控制人刘岳均沟通其他医院的收购事项，该时点为内幕信息敏感期起点；2013年6月28日，恒康医疗发布永</w:t>
      </w:r>
      <w:proofErr w:type="gramStart"/>
      <w:r w:rsidRPr="00DE179F">
        <w:rPr>
          <w:rFonts w:ascii="宋体" w:eastAsia="宋体" w:hAnsi="宋体" w:cs="宋体" w:hint="eastAsia"/>
          <w:color w:val="000000"/>
          <w:kern w:val="0"/>
          <w:szCs w:val="21"/>
        </w:rPr>
        <w:t>道医疗</w:t>
      </w:r>
      <w:proofErr w:type="gramEnd"/>
      <w:r w:rsidRPr="00DE179F">
        <w:rPr>
          <w:rFonts w:ascii="宋体" w:eastAsia="宋体" w:hAnsi="宋体" w:cs="宋体" w:hint="eastAsia"/>
          <w:color w:val="000000"/>
          <w:kern w:val="0"/>
          <w:szCs w:val="21"/>
        </w:rPr>
        <w:t>收购蓬溪医院股权公告，该时点为内幕信息敏感期的终点，即内幕信息敏感期为2013年1月10日至2013年6月28日。</w:t>
      </w:r>
    </w:p>
    <w:p w:rsidR="00DE179F" w:rsidRPr="00DE179F" w:rsidRDefault="00DE179F" w:rsidP="00DE179F">
      <w:pPr>
        <w:widowControl/>
        <w:shd w:val="clear" w:color="auto" w:fill="FFFFFF"/>
        <w:spacing w:line="360" w:lineRule="atLeast"/>
        <w:ind w:firstLine="420"/>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二、刘岳均内幕交易“恒康医疗”</w:t>
      </w:r>
    </w:p>
    <w:p w:rsidR="00DE179F" w:rsidRPr="00DE179F" w:rsidRDefault="00DE179F" w:rsidP="00DE179F">
      <w:pPr>
        <w:widowControl/>
        <w:shd w:val="clear" w:color="auto" w:fill="FFFFFF"/>
        <w:spacing w:line="360" w:lineRule="atLeast"/>
        <w:ind w:firstLine="420"/>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（一）刘岳均知悉内幕信息情况</w:t>
      </w:r>
    </w:p>
    <w:p w:rsidR="00DE179F" w:rsidRPr="00DE179F" w:rsidRDefault="00DE179F" w:rsidP="00DE179F">
      <w:pPr>
        <w:widowControl/>
        <w:shd w:val="clear" w:color="auto" w:fill="FFFFFF"/>
        <w:spacing w:line="360" w:lineRule="atLeast"/>
        <w:ind w:firstLine="420"/>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刘岳均为恒康医疗收购的红十字医院实际控制人，且为恒康医疗收购资阳医院等三家医院的介绍人，知悉恒康医疗收购红十字医院肿瘤诊疗中心85%的收益权及收购三家医院事宜，是内幕信息知情人，知悉时间不晚于2013年1月10日。</w:t>
      </w:r>
    </w:p>
    <w:p w:rsidR="00DE179F" w:rsidRPr="00DE179F" w:rsidRDefault="00DE179F" w:rsidP="00DE179F">
      <w:pPr>
        <w:widowControl/>
        <w:shd w:val="clear" w:color="auto" w:fill="FFFFFF"/>
        <w:spacing w:line="360" w:lineRule="atLeast"/>
        <w:ind w:firstLine="420"/>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（二）“李某”等7个证券账户操作与资金来源情况</w:t>
      </w:r>
    </w:p>
    <w:p w:rsidR="00DE179F" w:rsidRPr="00DE179F" w:rsidRDefault="00DE179F" w:rsidP="00DE179F">
      <w:pPr>
        <w:widowControl/>
        <w:shd w:val="clear" w:color="auto" w:fill="FFFFFF"/>
        <w:spacing w:line="360" w:lineRule="atLeast"/>
        <w:ind w:firstLine="420"/>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“李某”、“刘某明”、“夏某”、“刘某平”、“刘某岑”、“胡某芳”、“李某镇”7个证券账户均为刘岳均控制并操作，账户资金来源为刘岳均家庭、其控制的数家公司以及上述证券账户滚存资金。</w:t>
      </w:r>
    </w:p>
    <w:p w:rsidR="00DE179F" w:rsidRPr="00DE179F" w:rsidRDefault="00DE179F" w:rsidP="00DE179F">
      <w:pPr>
        <w:widowControl/>
        <w:shd w:val="clear" w:color="auto" w:fill="FFFFFF"/>
        <w:spacing w:line="360" w:lineRule="atLeast"/>
        <w:ind w:firstLine="420"/>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（三）刘岳均控制的“李某”等7个证券账户交易情况</w:t>
      </w:r>
    </w:p>
    <w:p w:rsidR="00DE179F" w:rsidRPr="00DE179F" w:rsidRDefault="00DE179F" w:rsidP="00DE179F">
      <w:pPr>
        <w:widowControl/>
        <w:shd w:val="clear" w:color="auto" w:fill="FFFFFF"/>
        <w:spacing w:line="360" w:lineRule="atLeast"/>
        <w:ind w:firstLine="420"/>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“李某”等7个证券账户均系刘岳均一人控制和操作，从2013年1月恒康医疗收购红十字医院开始，7个证券账户逐步参与交易“恒康医疗”，</w:t>
      </w:r>
      <w:proofErr w:type="gramStart"/>
      <w:r w:rsidRPr="00DE179F">
        <w:rPr>
          <w:rFonts w:ascii="宋体" w:eastAsia="宋体" w:hAnsi="宋体" w:cs="宋体" w:hint="eastAsia"/>
          <w:color w:val="000000"/>
          <w:kern w:val="0"/>
          <w:szCs w:val="21"/>
        </w:rPr>
        <w:t>且净买入</w:t>
      </w:r>
      <w:proofErr w:type="gramEnd"/>
      <w:r w:rsidRPr="00DE179F">
        <w:rPr>
          <w:rFonts w:ascii="宋体" w:eastAsia="宋体" w:hAnsi="宋体" w:cs="宋体" w:hint="eastAsia"/>
          <w:color w:val="000000"/>
          <w:kern w:val="0"/>
          <w:szCs w:val="21"/>
        </w:rPr>
        <w:t>量逐渐放大，到2013年6月份7</w:t>
      </w:r>
      <w:proofErr w:type="gramStart"/>
      <w:r w:rsidRPr="00DE179F">
        <w:rPr>
          <w:rFonts w:ascii="宋体" w:eastAsia="宋体" w:hAnsi="宋体" w:cs="宋体" w:hint="eastAsia"/>
          <w:color w:val="000000"/>
          <w:kern w:val="0"/>
          <w:szCs w:val="21"/>
        </w:rPr>
        <w:t>个</w:t>
      </w:r>
      <w:proofErr w:type="gramEnd"/>
      <w:r w:rsidRPr="00DE179F">
        <w:rPr>
          <w:rFonts w:ascii="宋体" w:eastAsia="宋体" w:hAnsi="宋体" w:cs="宋体" w:hint="eastAsia"/>
          <w:color w:val="000000"/>
          <w:kern w:val="0"/>
          <w:szCs w:val="21"/>
        </w:rPr>
        <w:t>证券账户中“恒康医疗”的持仓达到最高水平；内幕信息公开后，7个证券账户陆续卖出“恒康医疗”，7个证券账户交易“恒康医疗”的过程与内幕信息形成和公开过程高度吻合。</w:t>
      </w:r>
    </w:p>
    <w:p w:rsidR="00DE179F" w:rsidRPr="00DE179F" w:rsidRDefault="00DE179F" w:rsidP="00DE179F">
      <w:pPr>
        <w:widowControl/>
        <w:shd w:val="clear" w:color="auto" w:fill="FFFFFF"/>
        <w:spacing w:line="360" w:lineRule="atLeast"/>
        <w:ind w:firstLine="420"/>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综上，在内幕信息敏感期内，内幕信息知情人刘岳均利用“李某”等7个证券账户累计买入“恒康医疗”7,620,044股，买入金额12,631.48万元，获利金额33,947,891.62元。</w:t>
      </w:r>
    </w:p>
    <w:p w:rsidR="00DE179F" w:rsidRPr="00DE179F" w:rsidRDefault="00DE179F" w:rsidP="00DE179F">
      <w:pPr>
        <w:widowControl/>
        <w:shd w:val="clear" w:color="auto" w:fill="FFFFFF"/>
        <w:spacing w:line="360" w:lineRule="atLeast"/>
        <w:ind w:firstLine="420"/>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上述事实，有当事人及相关人员询问笔录、邮件记录、股权投资意向书及股权收购协议、恒康医疗公告、“李某”等7个证券账户开户资料、交易资料、银行账户资料等证据证明，足以认定。</w:t>
      </w:r>
    </w:p>
    <w:p w:rsidR="00DE179F" w:rsidRPr="00DE179F" w:rsidRDefault="00DE179F" w:rsidP="00DE179F">
      <w:pPr>
        <w:widowControl/>
        <w:shd w:val="clear" w:color="auto" w:fill="FFFFFF"/>
        <w:spacing w:line="360" w:lineRule="atLeast"/>
        <w:ind w:firstLine="420"/>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刘岳均的上述行为违反《证券法》第七十三条、第七十六条第一款的规定，构成《证券法》第二百零二条所述内幕交易行为。</w:t>
      </w:r>
    </w:p>
    <w:p w:rsidR="00DE179F" w:rsidRPr="00DE179F" w:rsidRDefault="00DE179F" w:rsidP="00DE179F">
      <w:pPr>
        <w:widowControl/>
        <w:shd w:val="clear" w:color="auto" w:fill="FFFFFF"/>
        <w:spacing w:line="360" w:lineRule="atLeast"/>
        <w:ind w:firstLine="420"/>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刘岳均及其代理人在听证中提出以下申辩意见：1.《事先告知书》对内幕信息敏感期的界定不正确。2.刘岳均未签署内幕信息知情人协议，不在恒康医疗内幕信息知情人员名单报备记录中，客观上不属于内幕信息知情人。3.刘岳均没有利用内幕信息进行股票交易的动机，2013年1月至6月期间的股票交易皆出于看好恒康医疗和医疗行业未来发展前景。4.刘岳均长期从事股票投资，用多账户进行股票交易的习惯在交易“恒康医疗”之前已经存在。5.《事先告知书》对刘岳均的处罚幅度不适当。6.2013年7月左右“恒康医疗”被大宗减持时，刘岳均大量购入抛向二级市场的“恒康医疗”，买入后股价大幅下跌。后期股价高位时刘岳均仍大量买入“恒康医疗”，且后期全部卖完，最终亏损，因此刘岳均无任何非法谋利的行为。</w:t>
      </w:r>
    </w:p>
    <w:p w:rsidR="00DE179F" w:rsidRPr="00DE179F" w:rsidRDefault="00DE179F" w:rsidP="00DE179F">
      <w:pPr>
        <w:widowControl/>
        <w:shd w:val="clear" w:color="auto" w:fill="FFFFFF"/>
        <w:spacing w:line="360" w:lineRule="atLeast"/>
        <w:ind w:firstLine="420"/>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lastRenderedPageBreak/>
        <w:t>我会认为：1.恒康医疗为了实现由制药向医疗服务的战略转型而以合计2.4亿元的交易价格相继收购红十字医院肿瘤诊疗中心（收购价格1.2亿元）、资阳医院（收购价格2,500万）、德阳医院（收购价格1,500万）和蓬溪医院（收购价格8,000万）等一系列医院的事项，上述收购事宜从时间上看粘合度高，客观上综合起效使得恒康医疗的战略转型有了实质性进展。因此，恒康医疗为了实现由制药向医疗服务的战略转型以合计2.4亿元的交易价格相继收购一系列医院的事项，构成了《证券法》第六十七条第二款第（二）项规定的“公司的重大投资行为和重大的购置财产的决定”的重大事件，该信息公开前属于《证券法》第七十五条第二款第（一）项规定的内幕信息，而不应当把每个收购医院事项分别单独认定为内幕信息。</w:t>
      </w:r>
    </w:p>
    <w:p w:rsidR="00DE179F" w:rsidRPr="00DE179F" w:rsidRDefault="00DE179F" w:rsidP="00DE179F">
      <w:pPr>
        <w:widowControl/>
        <w:shd w:val="clear" w:color="auto" w:fill="FFFFFF"/>
        <w:spacing w:line="360" w:lineRule="atLeast"/>
        <w:ind w:firstLine="420"/>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2013年1月10日，永</w:t>
      </w:r>
      <w:proofErr w:type="gramStart"/>
      <w:r w:rsidRPr="00DE179F">
        <w:rPr>
          <w:rFonts w:ascii="宋体" w:eastAsia="宋体" w:hAnsi="宋体" w:cs="宋体" w:hint="eastAsia"/>
          <w:color w:val="000000"/>
          <w:kern w:val="0"/>
          <w:szCs w:val="21"/>
        </w:rPr>
        <w:t>道医疗</w:t>
      </w:r>
      <w:proofErr w:type="gramEnd"/>
      <w:r w:rsidRPr="00DE179F">
        <w:rPr>
          <w:rFonts w:ascii="宋体" w:eastAsia="宋体" w:hAnsi="宋体" w:cs="宋体" w:hint="eastAsia"/>
          <w:color w:val="000000"/>
          <w:kern w:val="0"/>
          <w:szCs w:val="21"/>
        </w:rPr>
        <w:t>与红十字医院股东签署收益权收购协议，即明确了恒康医疗计划通过收购医院开展战略转型的开始，该时点为内幕信息敏感期起点。2013年5月6日，恒康医疗公告收购医院的意向协议，拟分别收购资阳医院100%股权、德阳医院100%股权以及蓬溪医院100%股权，但意向协议中并未涉及交易价格等交易核心要件，且意向协议仅仅是意向，仍具有不确定性。2013年6月7日，恒康医疗公告收购资阳医院和德阳医院各100%股权。收购的德阳医院、资阳医院资产、收入、交易作价等均较小，仅占整体收购价格的1/3，因而，6月28日蓬溪医院收购的完成对于恒康医疗的财务影响更为重大。2013年6月28日，恒康医疗发布永</w:t>
      </w:r>
      <w:proofErr w:type="gramStart"/>
      <w:r w:rsidRPr="00DE179F">
        <w:rPr>
          <w:rFonts w:ascii="宋体" w:eastAsia="宋体" w:hAnsi="宋体" w:cs="宋体" w:hint="eastAsia"/>
          <w:color w:val="000000"/>
          <w:kern w:val="0"/>
          <w:szCs w:val="21"/>
        </w:rPr>
        <w:t>道医疗</w:t>
      </w:r>
      <w:proofErr w:type="gramEnd"/>
      <w:r w:rsidRPr="00DE179F">
        <w:rPr>
          <w:rFonts w:ascii="宋体" w:eastAsia="宋体" w:hAnsi="宋体" w:cs="宋体" w:hint="eastAsia"/>
          <w:color w:val="000000"/>
          <w:kern w:val="0"/>
          <w:szCs w:val="21"/>
        </w:rPr>
        <w:t>收购蓬溪医院股权公告，恒康医疗连续完成了几家医院的收购事宜，实现由制药向医疗服务的战略转型，该时点为内幕信息敏感期的终点，即内幕信息敏感期为2013年1月10日至2013年6月28日。</w:t>
      </w:r>
    </w:p>
    <w:p w:rsidR="00DE179F" w:rsidRPr="00DE179F" w:rsidRDefault="00DE179F" w:rsidP="00DE179F">
      <w:pPr>
        <w:widowControl/>
        <w:shd w:val="clear" w:color="auto" w:fill="FFFFFF"/>
        <w:spacing w:line="360" w:lineRule="atLeast"/>
        <w:ind w:firstLine="420"/>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综上，《事先告知书》对内幕信息敏感期的认定正确，对当事人此项陈述申辩意见不予采纳。</w:t>
      </w:r>
    </w:p>
    <w:p w:rsidR="00DE179F" w:rsidRPr="00DE179F" w:rsidRDefault="00DE179F" w:rsidP="00DE179F">
      <w:pPr>
        <w:widowControl/>
        <w:shd w:val="clear" w:color="auto" w:fill="FFFFFF"/>
        <w:spacing w:line="360" w:lineRule="atLeast"/>
        <w:ind w:firstLine="420"/>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2. 刘岳均作为红十字医院的实际控制人，与恒康医疗的时任董事长朱某、董事会秘书郭某接触并洽谈收购红十字医院事宜，恒康医疗的子公司永</w:t>
      </w:r>
      <w:proofErr w:type="gramStart"/>
      <w:r w:rsidRPr="00DE179F">
        <w:rPr>
          <w:rFonts w:ascii="宋体" w:eastAsia="宋体" w:hAnsi="宋体" w:cs="宋体" w:hint="eastAsia"/>
          <w:color w:val="000000"/>
          <w:kern w:val="0"/>
          <w:szCs w:val="21"/>
        </w:rPr>
        <w:t>道医疗</w:t>
      </w:r>
      <w:proofErr w:type="gramEnd"/>
      <w:r w:rsidRPr="00DE179F">
        <w:rPr>
          <w:rFonts w:ascii="宋体" w:eastAsia="宋体" w:hAnsi="宋体" w:cs="宋体" w:hint="eastAsia"/>
          <w:color w:val="000000"/>
          <w:kern w:val="0"/>
          <w:szCs w:val="21"/>
        </w:rPr>
        <w:t>最终于2013年1月10日签署协议用1.2亿元现金收购红十字医院肿瘤诊疗中心85%的收益权。2013年3月，朱某和郭某又通过刘岳均认识了资阳医院、德阳医院和蓬溪医院的股东、法定代表人王</w:t>
      </w:r>
      <w:proofErr w:type="gramStart"/>
      <w:r w:rsidRPr="00DE179F">
        <w:rPr>
          <w:rFonts w:ascii="宋体" w:eastAsia="宋体" w:hAnsi="宋体" w:cs="宋体" w:hint="eastAsia"/>
          <w:color w:val="000000"/>
          <w:kern w:val="0"/>
          <w:szCs w:val="21"/>
        </w:rPr>
        <w:t>某忠并</w:t>
      </w:r>
      <w:proofErr w:type="gramEnd"/>
      <w:r w:rsidRPr="00DE179F">
        <w:rPr>
          <w:rFonts w:ascii="宋体" w:eastAsia="宋体" w:hAnsi="宋体" w:cs="宋体" w:hint="eastAsia"/>
          <w:color w:val="000000"/>
          <w:kern w:val="0"/>
          <w:szCs w:val="21"/>
        </w:rPr>
        <w:t>表明了收购其三家医院的意愿。郭某与恒康医疗实际控制人阙某彬的往来电子邮件以及朱某的笔录等客观证据显示，刘岳均还曾向恒康医疗提出向其支付作为收购标的介绍人的3,000万元补偿款的要求。综上，刘岳均自永</w:t>
      </w:r>
      <w:proofErr w:type="gramStart"/>
      <w:r w:rsidRPr="00DE179F">
        <w:rPr>
          <w:rFonts w:ascii="宋体" w:eastAsia="宋体" w:hAnsi="宋体" w:cs="宋体" w:hint="eastAsia"/>
          <w:color w:val="000000"/>
          <w:kern w:val="0"/>
          <w:szCs w:val="21"/>
        </w:rPr>
        <w:t>道医疗</w:t>
      </w:r>
      <w:proofErr w:type="gramEnd"/>
      <w:r w:rsidRPr="00DE179F">
        <w:rPr>
          <w:rFonts w:ascii="宋体" w:eastAsia="宋体" w:hAnsi="宋体" w:cs="宋体" w:hint="eastAsia"/>
          <w:color w:val="000000"/>
          <w:kern w:val="0"/>
          <w:szCs w:val="21"/>
        </w:rPr>
        <w:t>开始与其洽谈收购红十字医院肿瘤诊疗中心收益权时起，已经作为上市公司恒康医疗的交易对方知悉了恒康医疗转型及收购事宜，并且其还向恒康医疗介绍了三家拟收购标的医院，知悉完整的内幕信息，属于《证券法》规定的内幕信息知情人。</w:t>
      </w:r>
    </w:p>
    <w:p w:rsidR="00DE179F" w:rsidRPr="00DE179F" w:rsidRDefault="00DE179F" w:rsidP="00DE179F">
      <w:pPr>
        <w:widowControl/>
        <w:shd w:val="clear" w:color="auto" w:fill="FFFFFF"/>
        <w:spacing w:line="360" w:lineRule="atLeast"/>
        <w:ind w:firstLine="420"/>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关于上市公司建立内幕信息知情人登记管理制度的规定》（证监会公告〔2011〕30号）第八条第三款规定“收购人、重大资产重组交易对方以及涉及上市公司并对上市公司股价有重大影响事项的其他发起方，应当填写本单位内幕信息知情人的档案”，第四款规定“上述主体应当根据事项进程将内幕信息知情人档案分阶段送达相关上市公司”。因此，红十字医院作为恒康医疗交易对方本身也应该制定本单位的内幕信息知情人档案，刘岳均作为红十字医院的实际控制人，在申辩意见中提出的“未签署知情人协议也不在恒康医疗内幕信息知情</w:t>
      </w:r>
      <w:r w:rsidRPr="00DE179F">
        <w:rPr>
          <w:rFonts w:ascii="宋体" w:eastAsia="宋体" w:hAnsi="宋体" w:cs="宋体" w:hint="eastAsia"/>
          <w:color w:val="000000"/>
          <w:kern w:val="0"/>
          <w:szCs w:val="21"/>
        </w:rPr>
        <w:lastRenderedPageBreak/>
        <w:t>人员名单报备记录中因此不属于内幕信息知情人”的申辩理由不能成立。对当事人此项陈述申辩意见不予采纳。</w:t>
      </w:r>
    </w:p>
    <w:p w:rsidR="00DE179F" w:rsidRPr="00DE179F" w:rsidRDefault="00DE179F" w:rsidP="00DE179F">
      <w:pPr>
        <w:widowControl/>
        <w:shd w:val="clear" w:color="auto" w:fill="FFFFFF"/>
        <w:spacing w:line="360" w:lineRule="atLeast"/>
        <w:ind w:firstLine="420"/>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3. </w:t>
      </w:r>
      <w:proofErr w:type="gramStart"/>
      <w:r w:rsidRPr="00DE179F">
        <w:rPr>
          <w:rFonts w:ascii="宋体" w:eastAsia="宋体" w:hAnsi="宋体" w:cs="宋体" w:hint="eastAsia"/>
          <w:color w:val="000000"/>
          <w:kern w:val="0"/>
          <w:szCs w:val="21"/>
        </w:rPr>
        <w:t>刘岳均是</w:t>
      </w:r>
      <w:proofErr w:type="gramEnd"/>
      <w:r w:rsidRPr="00DE179F">
        <w:rPr>
          <w:rFonts w:ascii="宋体" w:eastAsia="宋体" w:hAnsi="宋体" w:cs="宋体" w:hint="eastAsia"/>
          <w:color w:val="000000"/>
          <w:kern w:val="0"/>
          <w:szCs w:val="21"/>
        </w:rPr>
        <w:t>内幕信息知情人，其关于交易动机是基于对公司和行业前景看好的申辩理由，不足以否定其知悉内幕信息并在内幕信息敏感期内进行内幕交易的客观事实。对当事人此项陈述申辩意见不予采纳。</w:t>
      </w:r>
    </w:p>
    <w:p w:rsidR="00DE179F" w:rsidRPr="00DE179F" w:rsidRDefault="00DE179F" w:rsidP="00DE179F">
      <w:pPr>
        <w:widowControl/>
        <w:shd w:val="clear" w:color="auto" w:fill="FFFFFF"/>
        <w:spacing w:line="360" w:lineRule="atLeast"/>
        <w:ind w:firstLine="420"/>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4. </w:t>
      </w:r>
      <w:proofErr w:type="gramStart"/>
      <w:r w:rsidRPr="00DE179F">
        <w:rPr>
          <w:rFonts w:ascii="宋体" w:eastAsia="宋体" w:hAnsi="宋体" w:cs="宋体" w:hint="eastAsia"/>
          <w:color w:val="000000"/>
          <w:kern w:val="0"/>
          <w:szCs w:val="21"/>
        </w:rPr>
        <w:t>刘岳均是</w:t>
      </w:r>
      <w:proofErr w:type="gramEnd"/>
      <w:r w:rsidRPr="00DE179F">
        <w:rPr>
          <w:rFonts w:ascii="宋体" w:eastAsia="宋体" w:hAnsi="宋体" w:cs="宋体" w:hint="eastAsia"/>
          <w:color w:val="000000"/>
          <w:kern w:val="0"/>
          <w:szCs w:val="21"/>
        </w:rPr>
        <w:t>内幕信息知情人，其在内幕信息敏感期内进行内幕交易的客观事实清楚、证据充分，此前的交易习惯及后续的买入情况不影响本案的事实认定。对当事人此项陈述申辩意见不予采纳。</w:t>
      </w:r>
    </w:p>
    <w:p w:rsidR="00DE179F" w:rsidRPr="00DE179F" w:rsidRDefault="00DE179F" w:rsidP="00DE179F">
      <w:pPr>
        <w:widowControl/>
        <w:shd w:val="clear" w:color="auto" w:fill="FFFFFF"/>
        <w:spacing w:line="360" w:lineRule="atLeast"/>
        <w:ind w:firstLine="420"/>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5. 我会</w:t>
      </w:r>
      <w:proofErr w:type="gramStart"/>
      <w:r w:rsidRPr="00DE179F">
        <w:rPr>
          <w:rFonts w:ascii="宋体" w:eastAsia="宋体" w:hAnsi="宋体" w:cs="宋体" w:hint="eastAsia"/>
          <w:color w:val="000000"/>
          <w:kern w:val="0"/>
          <w:szCs w:val="21"/>
        </w:rPr>
        <w:t>作出</w:t>
      </w:r>
      <w:proofErr w:type="gramEnd"/>
      <w:r w:rsidRPr="00DE179F">
        <w:rPr>
          <w:rFonts w:ascii="宋体" w:eastAsia="宋体" w:hAnsi="宋体" w:cs="宋体" w:hint="eastAsia"/>
          <w:color w:val="000000"/>
          <w:kern w:val="0"/>
          <w:szCs w:val="21"/>
        </w:rPr>
        <w:t>的行政处罚决定是根据当事人违法行为的事实、性质、情节与社会危害程度所作的综合判断。对本案当事人刘岳均的罚款金额在《证券法》规定的法定幅度范围内。对当事人此项陈述申辩意见不予采纳。</w:t>
      </w:r>
    </w:p>
    <w:p w:rsidR="00DE179F" w:rsidRPr="00DE179F" w:rsidRDefault="00DE179F" w:rsidP="00DE179F">
      <w:pPr>
        <w:widowControl/>
        <w:shd w:val="clear" w:color="auto" w:fill="FFFFFF"/>
        <w:spacing w:line="360" w:lineRule="atLeast"/>
        <w:ind w:firstLine="420"/>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6. 我会按照统一的计算方法和计算标准，根据证券交易所提供的客观交易数据对违法所得进行计算。经核查，对当事人刘岳均的违法所得金额计算结果无误。对当事人此项陈述申辩意见不予采纳。</w:t>
      </w:r>
    </w:p>
    <w:p w:rsidR="00DE179F" w:rsidRPr="00DE179F" w:rsidRDefault="00DE179F" w:rsidP="00DE179F">
      <w:pPr>
        <w:widowControl/>
        <w:shd w:val="clear" w:color="auto" w:fill="FFFFFF"/>
        <w:spacing w:line="360" w:lineRule="atLeast"/>
        <w:ind w:firstLine="420"/>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根据当事人违法行为的事实、性质、情节与社会危害程度，依据《证券法》第二百零二条的规定，我会决定：没收违法所得33,947,891.62元，并处以101,843,674.86元罚款。</w:t>
      </w:r>
    </w:p>
    <w:p w:rsidR="00DE179F" w:rsidRPr="00DE179F" w:rsidRDefault="00DE179F" w:rsidP="00DE179F">
      <w:pPr>
        <w:widowControl/>
        <w:shd w:val="clear" w:color="auto" w:fill="FFFFFF"/>
        <w:spacing w:line="360" w:lineRule="atLeast"/>
        <w:ind w:firstLine="420"/>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DE179F" w:rsidRPr="00DE179F" w:rsidRDefault="00DE179F" w:rsidP="00DE179F">
      <w:pPr>
        <w:widowControl/>
        <w:shd w:val="clear" w:color="auto" w:fill="FFFFFF"/>
        <w:spacing w:line="360" w:lineRule="atLeast"/>
        <w:jc w:val="left"/>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 </w:t>
      </w:r>
    </w:p>
    <w:p w:rsidR="00DE179F" w:rsidRPr="00DE179F" w:rsidRDefault="00DE179F" w:rsidP="00DE179F">
      <w:pPr>
        <w:widowControl/>
        <w:shd w:val="clear" w:color="auto" w:fill="FFFFFF"/>
        <w:spacing w:line="360" w:lineRule="atLeast"/>
        <w:jc w:val="left"/>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 </w:t>
      </w:r>
    </w:p>
    <w:p w:rsidR="00DE179F" w:rsidRPr="00DE179F" w:rsidRDefault="00DE179F" w:rsidP="00DE179F">
      <w:pPr>
        <w:widowControl/>
        <w:shd w:val="clear" w:color="auto" w:fill="FFFFFF"/>
        <w:spacing w:line="360" w:lineRule="atLeast"/>
        <w:jc w:val="left"/>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 </w:t>
      </w:r>
    </w:p>
    <w:p w:rsidR="00DE179F" w:rsidRPr="00DE179F" w:rsidRDefault="00DE179F" w:rsidP="00DE179F">
      <w:pPr>
        <w:widowControl/>
        <w:shd w:val="clear" w:color="auto" w:fill="FFFFFF"/>
        <w:spacing w:line="360" w:lineRule="atLeast"/>
        <w:jc w:val="left"/>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 </w:t>
      </w:r>
    </w:p>
    <w:p w:rsidR="00DE179F" w:rsidRPr="00DE179F" w:rsidRDefault="00DE179F" w:rsidP="00DE179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 xml:space="preserve">中国证监会　 　　</w:t>
      </w:r>
      <w:proofErr w:type="gramStart"/>
      <w:r w:rsidRPr="00DE179F">
        <w:rPr>
          <w:rFonts w:ascii="宋体" w:eastAsia="宋体" w:hAnsi="宋体" w:cs="宋体" w:hint="eastAsia"/>
          <w:color w:val="000000"/>
          <w:kern w:val="0"/>
          <w:szCs w:val="21"/>
        </w:rPr>
        <w:t xml:space="preserve">　　</w:t>
      </w:r>
      <w:proofErr w:type="gramEnd"/>
    </w:p>
    <w:p w:rsidR="00DE179F" w:rsidRPr="00DE179F" w:rsidRDefault="00DE179F" w:rsidP="00DE179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E179F">
        <w:rPr>
          <w:rFonts w:ascii="宋体" w:eastAsia="宋体" w:hAnsi="宋体" w:cs="宋体" w:hint="eastAsia"/>
          <w:color w:val="000000"/>
          <w:kern w:val="0"/>
          <w:szCs w:val="21"/>
        </w:rPr>
        <w:t xml:space="preserve">2017年9月21日　　</w:t>
      </w:r>
      <w:proofErr w:type="gramStart"/>
      <w:r w:rsidRPr="00DE179F">
        <w:rPr>
          <w:rFonts w:ascii="宋体" w:eastAsia="宋体" w:hAnsi="宋体" w:cs="宋体" w:hint="eastAsia"/>
          <w:color w:val="000000"/>
          <w:kern w:val="0"/>
          <w:szCs w:val="21"/>
        </w:rPr>
        <w:t xml:space="preserve">　　</w:t>
      </w:r>
      <w:proofErr w:type="gramEnd"/>
    </w:p>
    <w:p w:rsidR="00DE179F" w:rsidRPr="00DE179F" w:rsidRDefault="00DE179F" w:rsidP="00DE179F">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DE179F" w:rsidRPr="00DE179F" w:rsidTr="00DE179F">
        <w:trPr>
          <w:tblCellSpacing w:w="15" w:type="dxa"/>
          <w:jc w:val="center"/>
        </w:trPr>
        <w:tc>
          <w:tcPr>
            <w:tcW w:w="900" w:type="dxa"/>
            <w:vAlign w:val="center"/>
            <w:hideMark/>
          </w:tcPr>
          <w:p w:rsidR="00DE179F" w:rsidRPr="00DE179F" w:rsidRDefault="00DE179F" w:rsidP="00DE179F">
            <w:pPr>
              <w:widowControl/>
              <w:jc w:val="left"/>
              <w:rPr>
                <w:rFonts w:ascii="宋体" w:eastAsia="宋体" w:hAnsi="宋体" w:cs="宋体" w:hint="eastAsia"/>
                <w:kern w:val="0"/>
                <w:sz w:val="18"/>
                <w:szCs w:val="18"/>
              </w:rPr>
            </w:pPr>
            <w:r w:rsidRPr="00DE179F">
              <w:rPr>
                <w:rFonts w:ascii="宋体" w:eastAsia="宋体" w:hAnsi="宋体" w:cs="宋体"/>
                <w:kern w:val="0"/>
                <w:sz w:val="18"/>
                <w:szCs w:val="18"/>
              </w:rPr>
              <w:t> </w:t>
            </w:r>
          </w:p>
        </w:tc>
        <w:tc>
          <w:tcPr>
            <w:tcW w:w="1200" w:type="dxa"/>
            <w:vAlign w:val="center"/>
            <w:hideMark/>
          </w:tcPr>
          <w:p w:rsidR="00DE179F" w:rsidRPr="00DE179F" w:rsidRDefault="00DE179F" w:rsidP="00DE179F">
            <w:pPr>
              <w:widowControl/>
              <w:jc w:val="left"/>
              <w:rPr>
                <w:rFonts w:ascii="宋体" w:eastAsia="宋体" w:hAnsi="宋体" w:cs="宋体"/>
                <w:kern w:val="0"/>
                <w:sz w:val="18"/>
                <w:szCs w:val="18"/>
              </w:rPr>
            </w:pPr>
            <w:r w:rsidRPr="00DE179F">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E179F" w:rsidRPr="00DE179F" w:rsidRDefault="00DE179F" w:rsidP="00DE179F">
            <w:pPr>
              <w:widowControl/>
              <w:jc w:val="left"/>
              <w:rPr>
                <w:rFonts w:ascii="宋体" w:eastAsia="宋体" w:hAnsi="宋体" w:cs="宋体"/>
                <w:kern w:val="0"/>
                <w:sz w:val="18"/>
                <w:szCs w:val="18"/>
              </w:rPr>
            </w:pPr>
            <w:r w:rsidRPr="00DE179F">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E179F" w:rsidRPr="00DE179F" w:rsidRDefault="00DE179F" w:rsidP="00DE179F">
            <w:pPr>
              <w:widowControl/>
              <w:jc w:val="left"/>
              <w:rPr>
                <w:rFonts w:ascii="宋体" w:eastAsia="宋体" w:hAnsi="宋体" w:cs="宋体"/>
                <w:kern w:val="0"/>
                <w:sz w:val="18"/>
                <w:szCs w:val="18"/>
              </w:rPr>
            </w:pPr>
            <w:r w:rsidRPr="00DE179F">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DE179F" w:rsidRPr="00DE179F" w:rsidRDefault="00DE179F" w:rsidP="00DE179F">
      <w:pPr>
        <w:widowControl/>
        <w:jc w:val="center"/>
        <w:rPr>
          <w:rFonts w:ascii="微软雅黑" w:eastAsia="微软雅黑" w:hAnsi="微软雅黑" w:cs="宋体"/>
          <w:color w:val="515151"/>
          <w:kern w:val="0"/>
          <w:sz w:val="18"/>
          <w:szCs w:val="18"/>
        </w:rPr>
      </w:pPr>
      <w:hyperlink r:id="rId11" w:tgtFrame="_blank" w:history="1">
        <w:r w:rsidRPr="00DE179F">
          <w:rPr>
            <w:rFonts w:ascii="微软雅黑" w:eastAsia="微软雅黑" w:hAnsi="微软雅黑" w:cs="宋体" w:hint="eastAsia"/>
            <w:color w:val="0000FF"/>
            <w:kern w:val="0"/>
            <w:sz w:val="18"/>
            <w:szCs w:val="18"/>
            <w:u w:val="single"/>
          </w:rPr>
          <w:t>关于我们</w:t>
        </w:r>
      </w:hyperlink>
      <w:r w:rsidRPr="00DE179F">
        <w:rPr>
          <w:rFonts w:ascii="微软雅黑" w:eastAsia="微软雅黑" w:hAnsi="微软雅黑" w:cs="宋体" w:hint="eastAsia"/>
          <w:color w:val="515151"/>
          <w:kern w:val="0"/>
          <w:sz w:val="18"/>
          <w:szCs w:val="18"/>
        </w:rPr>
        <w:t> - </w:t>
      </w:r>
      <w:hyperlink r:id="rId12" w:tgtFrame="_blank" w:history="1">
        <w:r w:rsidRPr="00DE179F">
          <w:rPr>
            <w:rFonts w:ascii="微软雅黑" w:eastAsia="微软雅黑" w:hAnsi="微软雅黑" w:cs="宋体" w:hint="eastAsia"/>
            <w:color w:val="0000FF"/>
            <w:kern w:val="0"/>
            <w:sz w:val="18"/>
            <w:szCs w:val="18"/>
            <w:u w:val="single"/>
          </w:rPr>
          <w:t>法律声明</w:t>
        </w:r>
      </w:hyperlink>
      <w:r w:rsidRPr="00DE179F">
        <w:rPr>
          <w:rFonts w:ascii="微软雅黑" w:eastAsia="微软雅黑" w:hAnsi="微软雅黑" w:cs="宋体" w:hint="eastAsia"/>
          <w:color w:val="515151"/>
          <w:kern w:val="0"/>
          <w:sz w:val="18"/>
          <w:szCs w:val="18"/>
        </w:rPr>
        <w:t> - </w:t>
      </w:r>
      <w:hyperlink r:id="rId13" w:tgtFrame="_blank" w:history="1">
        <w:r w:rsidRPr="00DE179F">
          <w:rPr>
            <w:rFonts w:ascii="微软雅黑" w:eastAsia="微软雅黑" w:hAnsi="微软雅黑" w:cs="宋体" w:hint="eastAsia"/>
            <w:color w:val="0000FF"/>
            <w:kern w:val="0"/>
            <w:sz w:val="18"/>
            <w:szCs w:val="18"/>
            <w:u w:val="single"/>
          </w:rPr>
          <w:t>联系我们</w:t>
        </w:r>
      </w:hyperlink>
    </w:p>
    <w:p w:rsidR="00DE179F" w:rsidRPr="00DE179F" w:rsidRDefault="00DE179F" w:rsidP="00DE179F">
      <w:pPr>
        <w:widowControl/>
        <w:jc w:val="center"/>
        <w:rPr>
          <w:rFonts w:ascii="微软雅黑" w:eastAsia="微软雅黑" w:hAnsi="微软雅黑" w:cs="宋体" w:hint="eastAsia"/>
          <w:color w:val="515151"/>
          <w:kern w:val="0"/>
          <w:sz w:val="18"/>
          <w:szCs w:val="18"/>
        </w:rPr>
      </w:pPr>
      <w:r w:rsidRPr="00DE179F">
        <w:rPr>
          <w:rFonts w:ascii="微软雅黑" w:eastAsia="微软雅黑" w:hAnsi="微软雅黑" w:cs="宋体" w:hint="eastAsia"/>
          <w:color w:val="515151"/>
          <w:kern w:val="0"/>
          <w:sz w:val="18"/>
          <w:szCs w:val="18"/>
        </w:rPr>
        <w:t>版权所有：中国证券监督管理委员会 京ICP备 05035542号</w:t>
      </w:r>
    </w:p>
    <w:p w:rsidR="00DE179F" w:rsidRPr="00DE179F" w:rsidRDefault="00DE179F" w:rsidP="00DE179F">
      <w:pPr>
        <w:widowControl/>
        <w:jc w:val="center"/>
        <w:rPr>
          <w:rFonts w:ascii="微软雅黑" w:eastAsia="微软雅黑" w:hAnsi="微软雅黑" w:cs="宋体" w:hint="eastAsia"/>
          <w:color w:val="515151"/>
          <w:kern w:val="0"/>
          <w:sz w:val="18"/>
          <w:szCs w:val="18"/>
        </w:rPr>
      </w:pPr>
      <w:r w:rsidRPr="00DE179F">
        <w:rPr>
          <w:rFonts w:ascii="微软雅黑" w:eastAsia="微软雅黑" w:hAnsi="微软雅黑" w:cs="宋体" w:hint="eastAsia"/>
          <w:color w:val="515151"/>
          <w:kern w:val="0"/>
          <w:sz w:val="18"/>
          <w:szCs w:val="18"/>
        </w:rPr>
        <w:t>地址：北京市西城区金融大街19号富凯大厦A座 邮编：100033</w:t>
      </w:r>
    </w:p>
    <w:p w:rsidR="00DE179F" w:rsidRPr="00DE179F" w:rsidRDefault="00DE179F" w:rsidP="00DE179F">
      <w:pPr>
        <w:widowControl/>
        <w:jc w:val="center"/>
        <w:rPr>
          <w:rFonts w:ascii="微软雅黑" w:eastAsia="微软雅黑" w:hAnsi="微软雅黑" w:cs="宋体" w:hint="eastAsia"/>
          <w:color w:val="515151"/>
          <w:kern w:val="0"/>
          <w:sz w:val="18"/>
          <w:szCs w:val="18"/>
        </w:rPr>
      </w:pPr>
      <w:r w:rsidRPr="00DE179F">
        <w:rPr>
          <w:rFonts w:ascii="微软雅黑" w:eastAsia="微软雅黑" w:hAnsi="微软雅黑" w:cs="宋体" w:hint="eastAsia"/>
          <w:color w:val="515151"/>
          <w:kern w:val="0"/>
          <w:sz w:val="18"/>
          <w:szCs w:val="18"/>
        </w:rPr>
        <w:t>建议使用IE5.5以上浏览器，分辨率1024*768</w:t>
      </w:r>
    </w:p>
    <w:p w:rsidR="00801F9F" w:rsidRPr="00DE179F" w:rsidRDefault="00801F9F"/>
    <w:sectPr w:rsidR="00801F9F" w:rsidRPr="00DE17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9F"/>
    <w:rsid w:val="00801F9F"/>
    <w:rsid w:val="00DE1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53DAB-6E80-49D0-8DE5-2E15A12D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179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E179F"/>
    <w:rPr>
      <w:b/>
      <w:bCs/>
    </w:rPr>
  </w:style>
  <w:style w:type="paragraph" w:customStyle="1" w:styleId="p0">
    <w:name w:val="p0"/>
    <w:basedOn w:val="a"/>
    <w:rsid w:val="00DE179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DE17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685214">
      <w:bodyDiv w:val="1"/>
      <w:marLeft w:val="0"/>
      <w:marRight w:val="0"/>
      <w:marTop w:val="0"/>
      <w:marBottom w:val="0"/>
      <w:divBdr>
        <w:top w:val="none" w:sz="0" w:space="0" w:color="auto"/>
        <w:left w:val="none" w:sz="0" w:space="0" w:color="auto"/>
        <w:bottom w:val="none" w:sz="0" w:space="0" w:color="auto"/>
        <w:right w:val="none" w:sz="0" w:space="0" w:color="auto"/>
      </w:divBdr>
      <w:divsChild>
        <w:div w:id="287778417">
          <w:marLeft w:val="0"/>
          <w:marRight w:val="0"/>
          <w:marTop w:val="150"/>
          <w:marBottom w:val="150"/>
          <w:divBdr>
            <w:top w:val="none" w:sz="0" w:space="0" w:color="auto"/>
            <w:left w:val="none" w:sz="0" w:space="0" w:color="auto"/>
            <w:bottom w:val="none" w:sz="0" w:space="0" w:color="auto"/>
            <w:right w:val="none" w:sz="0" w:space="0" w:color="auto"/>
          </w:divBdr>
        </w:div>
        <w:div w:id="1762483902">
          <w:marLeft w:val="0"/>
          <w:marRight w:val="0"/>
          <w:marTop w:val="0"/>
          <w:marBottom w:val="0"/>
          <w:divBdr>
            <w:top w:val="single" w:sz="6" w:space="8" w:color="B5B5B5"/>
            <w:left w:val="single" w:sz="6" w:space="0" w:color="B5B5B5"/>
            <w:bottom w:val="single" w:sz="6" w:space="8" w:color="B5B5B5"/>
            <w:right w:val="single" w:sz="6" w:space="0" w:color="B5B5B5"/>
          </w:divBdr>
          <w:divsChild>
            <w:div w:id="1075131098">
              <w:marLeft w:val="0"/>
              <w:marRight w:val="0"/>
              <w:marTop w:val="0"/>
              <w:marBottom w:val="0"/>
              <w:divBdr>
                <w:top w:val="none" w:sz="0" w:space="0" w:color="auto"/>
                <w:left w:val="none" w:sz="0" w:space="0" w:color="auto"/>
                <w:bottom w:val="none" w:sz="0" w:space="0" w:color="auto"/>
                <w:right w:val="none" w:sz="0" w:space="0" w:color="auto"/>
              </w:divBdr>
            </w:div>
            <w:div w:id="1722749432">
              <w:marLeft w:val="0"/>
              <w:marRight w:val="0"/>
              <w:marTop w:val="0"/>
              <w:marBottom w:val="0"/>
              <w:divBdr>
                <w:top w:val="none" w:sz="0" w:space="0" w:color="auto"/>
                <w:left w:val="none" w:sz="0" w:space="0" w:color="auto"/>
                <w:bottom w:val="none" w:sz="0" w:space="0" w:color="auto"/>
                <w:right w:val="none" w:sz="0" w:space="0" w:color="auto"/>
              </w:divBdr>
            </w:div>
            <w:div w:id="680550493">
              <w:marLeft w:val="0"/>
              <w:marRight w:val="0"/>
              <w:marTop w:val="120"/>
              <w:marBottom w:val="120"/>
              <w:divBdr>
                <w:top w:val="none" w:sz="0" w:space="0" w:color="auto"/>
                <w:left w:val="none" w:sz="0" w:space="0" w:color="auto"/>
                <w:bottom w:val="none" w:sz="0" w:space="0" w:color="auto"/>
                <w:right w:val="none" w:sz="0" w:space="0" w:color="auto"/>
              </w:divBdr>
            </w:div>
          </w:divsChild>
        </w:div>
        <w:div w:id="473256449">
          <w:marLeft w:val="0"/>
          <w:marRight w:val="0"/>
          <w:marTop w:val="120"/>
          <w:marBottom w:val="0"/>
          <w:divBdr>
            <w:top w:val="none" w:sz="0" w:space="0" w:color="auto"/>
            <w:left w:val="none" w:sz="0" w:space="0" w:color="auto"/>
            <w:bottom w:val="none" w:sz="0" w:space="0" w:color="auto"/>
            <w:right w:val="none" w:sz="0" w:space="0" w:color="auto"/>
          </w:divBdr>
          <w:divsChild>
            <w:div w:id="1321499531">
              <w:marLeft w:val="0"/>
              <w:marRight w:val="0"/>
              <w:marTop w:val="60"/>
              <w:marBottom w:val="0"/>
              <w:divBdr>
                <w:top w:val="none" w:sz="0" w:space="0" w:color="auto"/>
                <w:left w:val="none" w:sz="0" w:space="0" w:color="auto"/>
                <w:bottom w:val="none" w:sz="0" w:space="0" w:color="auto"/>
                <w:right w:val="none" w:sz="0" w:space="0" w:color="auto"/>
              </w:divBdr>
            </w:div>
            <w:div w:id="1119304520">
              <w:marLeft w:val="0"/>
              <w:marRight w:val="0"/>
              <w:marTop w:val="60"/>
              <w:marBottom w:val="0"/>
              <w:divBdr>
                <w:top w:val="none" w:sz="0" w:space="0" w:color="auto"/>
                <w:left w:val="none" w:sz="0" w:space="0" w:color="auto"/>
                <w:bottom w:val="none" w:sz="0" w:space="0" w:color="auto"/>
                <w:right w:val="none" w:sz="0" w:space="0" w:color="auto"/>
              </w:divBdr>
            </w:div>
            <w:div w:id="1187282784">
              <w:marLeft w:val="0"/>
              <w:marRight w:val="0"/>
              <w:marTop w:val="60"/>
              <w:marBottom w:val="0"/>
              <w:divBdr>
                <w:top w:val="none" w:sz="0" w:space="0" w:color="auto"/>
                <w:left w:val="none" w:sz="0" w:space="0" w:color="auto"/>
                <w:bottom w:val="none" w:sz="0" w:space="0" w:color="auto"/>
                <w:right w:val="none" w:sz="0" w:space="0" w:color="auto"/>
              </w:divBdr>
            </w:div>
            <w:div w:id="10977534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709/t20170926_32412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707</Words>
  <Characters>4032</Characters>
  <Application>Microsoft Office Word</Application>
  <DocSecurity>0</DocSecurity>
  <Lines>33</Lines>
  <Paragraphs>9</Paragraphs>
  <ScaleCrop>false</ScaleCrop>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2020-02-17T12:33:00Z</dcterms:created>
  <dcterms:modified xsi:type="dcterms:W3CDTF">2020-02-17T12:33:00Z</dcterms:modified>
</cp:coreProperties>
</file>