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D94" w:rsidRPr="00247D94" w:rsidRDefault="00247D94" w:rsidP="00247D94">
      <w:pPr>
        <w:widowControl/>
        <w:jc w:val="center"/>
        <w:rPr>
          <w:rFonts w:ascii="微软雅黑" w:eastAsia="微软雅黑" w:hAnsi="微软雅黑" w:cs="宋体"/>
          <w:color w:val="000000"/>
          <w:kern w:val="0"/>
          <w:sz w:val="18"/>
          <w:szCs w:val="18"/>
        </w:rPr>
      </w:pPr>
      <w:r w:rsidRPr="00247D94">
        <w:rPr>
          <w:rFonts w:ascii="微软雅黑" w:eastAsia="微软雅黑" w:hAnsi="微软雅黑" w:cs="宋体"/>
          <w:noProof/>
          <w:color w:val="000000"/>
          <w:kern w:val="0"/>
          <w:sz w:val="18"/>
          <w:szCs w:val="18"/>
        </w:rPr>
        <w:drawing>
          <wp:inline distT="0" distB="0" distL="0" distR="0">
            <wp:extent cx="5274310" cy="57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47D94" w:rsidRPr="00247D94" w:rsidTr="00247D9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47D94" w:rsidRPr="00247D94">
              <w:trPr>
                <w:tblCellSpacing w:w="0" w:type="dxa"/>
              </w:trPr>
              <w:tc>
                <w:tcPr>
                  <w:tcW w:w="2500" w:type="pct"/>
                  <w:tcMar>
                    <w:top w:w="30" w:type="dxa"/>
                    <w:left w:w="30" w:type="dxa"/>
                    <w:bottom w:w="30" w:type="dxa"/>
                    <w:right w:w="30" w:type="dxa"/>
                  </w:tcMar>
                  <w:hideMark/>
                </w:tcPr>
                <w:p w:rsidR="00247D94" w:rsidRPr="00247D94" w:rsidRDefault="00247D94" w:rsidP="00247D94">
                  <w:pPr>
                    <w:widowControl/>
                    <w:jc w:val="left"/>
                    <w:rPr>
                      <w:rFonts w:ascii="宋体" w:eastAsia="宋体" w:hAnsi="宋体" w:cs="宋体" w:hint="eastAsia"/>
                      <w:color w:val="686868"/>
                      <w:kern w:val="0"/>
                      <w:sz w:val="18"/>
                      <w:szCs w:val="18"/>
                    </w:rPr>
                  </w:pPr>
                  <w:r w:rsidRPr="00247D94">
                    <w:rPr>
                      <w:rFonts w:ascii="宋体" w:eastAsia="宋体" w:hAnsi="宋体" w:cs="宋体"/>
                      <w:b/>
                      <w:bCs/>
                      <w:color w:val="686868"/>
                      <w:kern w:val="0"/>
                      <w:sz w:val="18"/>
                      <w:szCs w:val="18"/>
                    </w:rPr>
                    <w:t>索 引 号:</w:t>
                  </w:r>
                  <w:r w:rsidRPr="00247D9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47D94" w:rsidRPr="00247D94" w:rsidRDefault="00247D94" w:rsidP="00247D94">
                  <w:pPr>
                    <w:widowControl/>
                    <w:jc w:val="left"/>
                    <w:rPr>
                      <w:rFonts w:ascii="宋体" w:eastAsia="宋体" w:hAnsi="宋体" w:cs="宋体"/>
                      <w:color w:val="686868"/>
                      <w:kern w:val="0"/>
                      <w:sz w:val="18"/>
                      <w:szCs w:val="18"/>
                    </w:rPr>
                  </w:pPr>
                  <w:r w:rsidRPr="00247D94">
                    <w:rPr>
                      <w:rFonts w:ascii="宋体" w:eastAsia="宋体" w:hAnsi="宋体" w:cs="宋体"/>
                      <w:b/>
                      <w:bCs/>
                      <w:color w:val="686868"/>
                      <w:kern w:val="0"/>
                      <w:sz w:val="18"/>
                      <w:szCs w:val="18"/>
                    </w:rPr>
                    <w:t>分类:</w:t>
                  </w:r>
                  <w:r w:rsidRPr="00247D94">
                    <w:rPr>
                      <w:rFonts w:ascii="宋体" w:eastAsia="宋体" w:hAnsi="宋体" w:cs="宋体"/>
                      <w:color w:val="686868"/>
                      <w:kern w:val="0"/>
                      <w:sz w:val="18"/>
                      <w:szCs w:val="18"/>
                    </w:rPr>
                    <w:t> 行政处罚 ; 行政处罚决定</w:t>
                  </w:r>
                </w:p>
              </w:tc>
            </w:tr>
          </w:tbl>
          <w:p w:rsidR="00247D94" w:rsidRPr="00247D94" w:rsidRDefault="00247D94" w:rsidP="00247D94">
            <w:pPr>
              <w:widowControl/>
              <w:jc w:val="left"/>
              <w:rPr>
                <w:rFonts w:ascii="宋体" w:eastAsia="宋体" w:hAnsi="宋体" w:cs="宋体"/>
                <w:color w:val="686868"/>
                <w:kern w:val="0"/>
                <w:sz w:val="18"/>
                <w:szCs w:val="18"/>
              </w:rPr>
            </w:pPr>
          </w:p>
        </w:tc>
      </w:tr>
      <w:tr w:rsidR="00247D94" w:rsidRPr="00247D94" w:rsidTr="00247D9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47D94" w:rsidRPr="00247D94">
              <w:trPr>
                <w:tblCellSpacing w:w="0" w:type="dxa"/>
              </w:trPr>
              <w:tc>
                <w:tcPr>
                  <w:tcW w:w="2500" w:type="pct"/>
                  <w:tcMar>
                    <w:top w:w="30" w:type="dxa"/>
                    <w:left w:w="30" w:type="dxa"/>
                    <w:bottom w:w="30" w:type="dxa"/>
                    <w:right w:w="30" w:type="dxa"/>
                  </w:tcMar>
                  <w:hideMark/>
                </w:tcPr>
                <w:p w:rsidR="00247D94" w:rsidRPr="00247D94" w:rsidRDefault="00247D94" w:rsidP="00247D94">
                  <w:pPr>
                    <w:widowControl/>
                    <w:jc w:val="left"/>
                    <w:rPr>
                      <w:rFonts w:ascii="宋体" w:eastAsia="宋体" w:hAnsi="宋体" w:cs="宋体"/>
                      <w:color w:val="686868"/>
                      <w:kern w:val="0"/>
                      <w:sz w:val="18"/>
                      <w:szCs w:val="18"/>
                    </w:rPr>
                  </w:pPr>
                  <w:r w:rsidRPr="00247D94">
                    <w:rPr>
                      <w:rFonts w:ascii="宋体" w:eastAsia="宋体" w:hAnsi="宋体" w:cs="宋体"/>
                      <w:b/>
                      <w:bCs/>
                      <w:color w:val="686868"/>
                      <w:kern w:val="0"/>
                      <w:sz w:val="18"/>
                      <w:szCs w:val="18"/>
                    </w:rPr>
                    <w:t>发布机构:</w:t>
                  </w:r>
                  <w:r w:rsidRPr="00247D9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47D94" w:rsidRPr="00247D94" w:rsidRDefault="00247D94" w:rsidP="00247D94">
                  <w:pPr>
                    <w:widowControl/>
                    <w:jc w:val="left"/>
                    <w:rPr>
                      <w:rFonts w:ascii="宋体" w:eastAsia="宋体" w:hAnsi="宋体" w:cs="宋体"/>
                      <w:color w:val="686868"/>
                      <w:kern w:val="0"/>
                      <w:sz w:val="18"/>
                      <w:szCs w:val="18"/>
                    </w:rPr>
                  </w:pPr>
                  <w:r w:rsidRPr="00247D94">
                    <w:rPr>
                      <w:rFonts w:ascii="宋体" w:eastAsia="宋体" w:hAnsi="宋体" w:cs="宋体"/>
                      <w:b/>
                      <w:bCs/>
                      <w:color w:val="686868"/>
                      <w:kern w:val="0"/>
                      <w:sz w:val="18"/>
                      <w:szCs w:val="18"/>
                    </w:rPr>
                    <w:t>发文日期:</w:t>
                  </w:r>
                  <w:r w:rsidRPr="00247D94">
                    <w:rPr>
                      <w:rFonts w:ascii="宋体" w:eastAsia="宋体" w:hAnsi="宋体" w:cs="宋体"/>
                      <w:color w:val="686868"/>
                      <w:kern w:val="0"/>
                      <w:sz w:val="18"/>
                      <w:szCs w:val="18"/>
                    </w:rPr>
                    <w:t> 2018年11月13日</w:t>
                  </w:r>
                </w:p>
              </w:tc>
            </w:tr>
          </w:tbl>
          <w:p w:rsidR="00247D94" w:rsidRPr="00247D94" w:rsidRDefault="00247D94" w:rsidP="00247D94">
            <w:pPr>
              <w:widowControl/>
              <w:jc w:val="left"/>
              <w:rPr>
                <w:rFonts w:ascii="宋体" w:eastAsia="宋体" w:hAnsi="宋体" w:cs="宋体"/>
                <w:color w:val="686868"/>
                <w:kern w:val="0"/>
                <w:sz w:val="18"/>
                <w:szCs w:val="18"/>
              </w:rPr>
            </w:pPr>
          </w:p>
        </w:tc>
      </w:tr>
      <w:tr w:rsidR="00247D94" w:rsidRPr="00247D94" w:rsidTr="00247D94">
        <w:trPr>
          <w:tblCellSpacing w:w="0" w:type="dxa"/>
        </w:trPr>
        <w:tc>
          <w:tcPr>
            <w:tcW w:w="0" w:type="auto"/>
            <w:tcMar>
              <w:top w:w="30" w:type="dxa"/>
              <w:left w:w="30" w:type="dxa"/>
              <w:bottom w:w="30" w:type="dxa"/>
              <w:right w:w="30" w:type="dxa"/>
            </w:tcMar>
            <w:hideMark/>
          </w:tcPr>
          <w:p w:rsidR="00247D94" w:rsidRPr="00247D94" w:rsidRDefault="00247D94" w:rsidP="00247D94">
            <w:pPr>
              <w:widowControl/>
              <w:jc w:val="left"/>
              <w:rPr>
                <w:rFonts w:ascii="宋体" w:eastAsia="宋体" w:hAnsi="宋体" w:cs="宋体"/>
                <w:color w:val="686868"/>
                <w:kern w:val="0"/>
                <w:sz w:val="18"/>
                <w:szCs w:val="18"/>
              </w:rPr>
            </w:pPr>
            <w:r w:rsidRPr="00247D94">
              <w:rPr>
                <w:rFonts w:ascii="宋体" w:eastAsia="宋体" w:hAnsi="宋体" w:cs="宋体"/>
                <w:b/>
                <w:bCs/>
                <w:color w:val="686868"/>
                <w:kern w:val="0"/>
                <w:sz w:val="18"/>
                <w:szCs w:val="18"/>
              </w:rPr>
              <w:t>名　　称:</w:t>
            </w:r>
            <w:r w:rsidRPr="00247D94">
              <w:rPr>
                <w:rFonts w:ascii="宋体" w:eastAsia="宋体" w:hAnsi="宋体" w:cs="宋体"/>
                <w:color w:val="686868"/>
                <w:kern w:val="0"/>
                <w:sz w:val="18"/>
                <w:szCs w:val="18"/>
              </w:rPr>
              <w:t> 中国证监会行政处罚决定书（林红、苏艳芝、王红梅）</w:t>
            </w:r>
          </w:p>
        </w:tc>
      </w:tr>
      <w:tr w:rsidR="00247D94" w:rsidRPr="00247D94" w:rsidTr="00247D9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47D94" w:rsidRPr="00247D94">
              <w:trPr>
                <w:tblCellSpacing w:w="0" w:type="dxa"/>
              </w:trPr>
              <w:tc>
                <w:tcPr>
                  <w:tcW w:w="2500" w:type="pct"/>
                  <w:tcMar>
                    <w:top w:w="30" w:type="dxa"/>
                    <w:left w:w="30" w:type="dxa"/>
                    <w:bottom w:w="30" w:type="dxa"/>
                    <w:right w:w="30" w:type="dxa"/>
                  </w:tcMar>
                  <w:hideMark/>
                </w:tcPr>
                <w:p w:rsidR="00247D94" w:rsidRPr="00247D94" w:rsidRDefault="00247D94" w:rsidP="00247D94">
                  <w:pPr>
                    <w:widowControl/>
                    <w:jc w:val="left"/>
                    <w:rPr>
                      <w:rFonts w:ascii="宋体" w:eastAsia="宋体" w:hAnsi="宋体" w:cs="宋体"/>
                      <w:color w:val="686868"/>
                      <w:kern w:val="0"/>
                      <w:sz w:val="18"/>
                      <w:szCs w:val="18"/>
                    </w:rPr>
                  </w:pPr>
                  <w:r w:rsidRPr="00247D94">
                    <w:rPr>
                      <w:rFonts w:ascii="宋体" w:eastAsia="宋体" w:hAnsi="宋体" w:cs="宋体"/>
                      <w:b/>
                      <w:bCs/>
                      <w:color w:val="686868"/>
                      <w:kern w:val="0"/>
                      <w:sz w:val="18"/>
                      <w:szCs w:val="18"/>
                    </w:rPr>
                    <w:t>文　　号:</w:t>
                  </w:r>
                  <w:r w:rsidRPr="00247D94">
                    <w:rPr>
                      <w:rFonts w:ascii="宋体" w:eastAsia="宋体" w:hAnsi="宋体" w:cs="宋体"/>
                      <w:color w:val="686868"/>
                      <w:kern w:val="0"/>
                      <w:sz w:val="18"/>
                      <w:szCs w:val="18"/>
                    </w:rPr>
                    <w:t> </w:t>
                  </w:r>
                  <w:bookmarkStart w:id="0" w:name="_GoBack"/>
                  <w:r w:rsidRPr="00247D94">
                    <w:rPr>
                      <w:rFonts w:ascii="宋体" w:eastAsia="宋体" w:hAnsi="宋体" w:cs="宋体"/>
                      <w:color w:val="686868"/>
                      <w:kern w:val="0"/>
                      <w:sz w:val="18"/>
                      <w:szCs w:val="18"/>
                    </w:rPr>
                    <w:t>〔2018〕109号</w:t>
                  </w:r>
                  <w:bookmarkEnd w:id="0"/>
                </w:p>
              </w:tc>
              <w:tc>
                <w:tcPr>
                  <w:tcW w:w="0" w:type="auto"/>
                  <w:tcMar>
                    <w:top w:w="30" w:type="dxa"/>
                    <w:left w:w="30" w:type="dxa"/>
                    <w:bottom w:w="30" w:type="dxa"/>
                    <w:right w:w="30" w:type="dxa"/>
                  </w:tcMar>
                  <w:hideMark/>
                </w:tcPr>
                <w:p w:rsidR="00247D94" w:rsidRPr="00247D94" w:rsidRDefault="00247D94" w:rsidP="00247D94">
                  <w:pPr>
                    <w:widowControl/>
                    <w:jc w:val="left"/>
                    <w:rPr>
                      <w:rFonts w:ascii="宋体" w:eastAsia="宋体" w:hAnsi="宋体" w:cs="宋体"/>
                      <w:color w:val="686868"/>
                      <w:kern w:val="0"/>
                      <w:sz w:val="18"/>
                      <w:szCs w:val="18"/>
                    </w:rPr>
                  </w:pPr>
                  <w:r w:rsidRPr="00247D94">
                    <w:rPr>
                      <w:rFonts w:ascii="宋体" w:eastAsia="宋体" w:hAnsi="宋体" w:cs="宋体"/>
                      <w:b/>
                      <w:bCs/>
                      <w:color w:val="686868"/>
                      <w:kern w:val="0"/>
                      <w:sz w:val="18"/>
                      <w:szCs w:val="18"/>
                    </w:rPr>
                    <w:t>主 题 词:</w:t>
                  </w:r>
                </w:p>
              </w:tc>
            </w:tr>
          </w:tbl>
          <w:p w:rsidR="00247D94" w:rsidRPr="00247D94" w:rsidRDefault="00247D94" w:rsidP="00247D94">
            <w:pPr>
              <w:widowControl/>
              <w:jc w:val="left"/>
              <w:rPr>
                <w:rFonts w:ascii="宋体" w:eastAsia="宋体" w:hAnsi="宋体" w:cs="宋体"/>
                <w:color w:val="686868"/>
                <w:kern w:val="0"/>
                <w:sz w:val="18"/>
                <w:szCs w:val="18"/>
              </w:rPr>
            </w:pPr>
          </w:p>
        </w:tc>
      </w:tr>
    </w:tbl>
    <w:p w:rsidR="00247D94" w:rsidRPr="00247D94" w:rsidRDefault="00247D94" w:rsidP="00247D94">
      <w:pPr>
        <w:widowControl/>
        <w:jc w:val="center"/>
        <w:rPr>
          <w:rFonts w:ascii="微软雅黑" w:eastAsia="微软雅黑" w:hAnsi="微软雅黑" w:cs="宋体"/>
          <w:color w:val="000000"/>
          <w:kern w:val="0"/>
          <w:sz w:val="18"/>
          <w:szCs w:val="18"/>
        </w:rPr>
      </w:pPr>
      <w:r w:rsidRPr="00247D9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47D94" w:rsidRPr="00247D94" w:rsidRDefault="00247D94" w:rsidP="00247D94">
      <w:pPr>
        <w:widowControl/>
        <w:shd w:val="clear" w:color="auto" w:fill="FFFFFF"/>
        <w:spacing w:after="240"/>
        <w:jc w:val="center"/>
        <w:rPr>
          <w:rFonts w:ascii="微软雅黑" w:eastAsia="微软雅黑" w:hAnsi="微软雅黑" w:cs="宋体" w:hint="eastAsia"/>
          <w:color w:val="000000"/>
          <w:kern w:val="0"/>
          <w:sz w:val="18"/>
          <w:szCs w:val="18"/>
        </w:rPr>
      </w:pPr>
      <w:r w:rsidRPr="00247D94">
        <w:rPr>
          <w:rFonts w:ascii="微软雅黑" w:eastAsia="微软雅黑" w:hAnsi="微软雅黑" w:cs="宋体" w:hint="eastAsia"/>
          <w:color w:val="000000"/>
          <w:kern w:val="0"/>
          <w:sz w:val="18"/>
          <w:szCs w:val="18"/>
        </w:rPr>
        <w:br/>
      </w:r>
      <w:r w:rsidRPr="00247D94">
        <w:rPr>
          <w:rFonts w:ascii="黑体" w:eastAsia="黑体" w:hAnsi="黑体" w:cs="宋体" w:hint="eastAsia"/>
          <w:b/>
          <w:bCs/>
          <w:color w:val="FF0000"/>
          <w:kern w:val="0"/>
          <w:sz w:val="36"/>
          <w:szCs w:val="36"/>
        </w:rPr>
        <w:t>中国证监会行政处罚决定书（林红、苏艳芝、王红梅）</w:t>
      </w:r>
    </w:p>
    <w:p w:rsidR="00247D94" w:rsidRPr="00247D94" w:rsidRDefault="00247D94" w:rsidP="00247D94">
      <w:pPr>
        <w:widowControl/>
        <w:shd w:val="clear" w:color="auto" w:fill="FFFFFF"/>
        <w:spacing w:line="360" w:lineRule="atLeast"/>
        <w:jc w:val="center"/>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〔2018〕109号</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Calibri" w:eastAsia="楷体" w:hAnsi="Calibri" w:cs="Calibri"/>
          <w:color w:val="000000"/>
          <w:kern w:val="0"/>
          <w:sz w:val="24"/>
          <w:szCs w:val="24"/>
        </w:rPr>
        <w:t> </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当事人：林红，女，1966年4月出生，时任中特物流有限公司（以下简称中特物流）财务总监，住址：北京市大兴区。</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苏艳芝，女，1968年12月出生，时任中特物流全资子公司湖南电力物流服务有限责任公司财务部主任，住址：湖南省长沙市天心区。</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王红梅，女，1974年1月出生，时任中特物流财务主管，住址：北京市丰台区。</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依据《中华人民共和国证券法》（以下简称《证券法》）有关规定，我会对林红等人内幕</w:t>
      </w:r>
      <w:proofErr w:type="gramStart"/>
      <w:r w:rsidRPr="00247D94">
        <w:rPr>
          <w:rFonts w:ascii="宋体" w:eastAsia="宋体" w:hAnsi="宋体" w:cs="宋体" w:hint="eastAsia"/>
          <w:color w:val="000000"/>
          <w:kern w:val="0"/>
          <w:szCs w:val="21"/>
        </w:rPr>
        <w:t>交易港</w:t>
      </w:r>
      <w:proofErr w:type="gramEnd"/>
      <w:r w:rsidRPr="00247D94">
        <w:rPr>
          <w:rFonts w:ascii="宋体" w:eastAsia="宋体" w:hAnsi="宋体" w:cs="宋体" w:hint="eastAsia"/>
          <w:color w:val="000000"/>
          <w:kern w:val="0"/>
          <w:szCs w:val="21"/>
        </w:rPr>
        <w:t>中旅华贸国际物流股份有限公司（以下简称华贸物流）股票进行了立案调查、审理，并依法向当事人告知了</w:t>
      </w:r>
      <w:proofErr w:type="gramStart"/>
      <w:r w:rsidRPr="00247D94">
        <w:rPr>
          <w:rFonts w:ascii="宋体" w:eastAsia="宋体" w:hAnsi="宋体" w:cs="宋体" w:hint="eastAsia"/>
          <w:color w:val="000000"/>
          <w:kern w:val="0"/>
          <w:szCs w:val="21"/>
        </w:rPr>
        <w:t>作出</w:t>
      </w:r>
      <w:proofErr w:type="gramEnd"/>
      <w:r w:rsidRPr="00247D94">
        <w:rPr>
          <w:rFonts w:ascii="宋体" w:eastAsia="宋体" w:hAnsi="宋体" w:cs="宋体" w:hint="eastAsia"/>
          <w:color w:val="000000"/>
          <w:kern w:val="0"/>
          <w:szCs w:val="21"/>
        </w:rPr>
        <w:t>行政处罚的事实、理由、依据及当事人依法享有的权利。当事人均提出陈述、申辩意见，未要求听证。本案现已调查、审理终结。</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经查明，当事人存在以下违法事实：</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一、内幕信息的形成、公开过程</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2014年底，有中介机构向华贸</w:t>
      </w:r>
      <w:proofErr w:type="gramStart"/>
      <w:r w:rsidRPr="00247D94">
        <w:rPr>
          <w:rFonts w:ascii="宋体" w:eastAsia="宋体" w:hAnsi="宋体" w:cs="宋体" w:hint="eastAsia"/>
          <w:color w:val="000000"/>
          <w:kern w:val="0"/>
          <w:szCs w:val="21"/>
        </w:rPr>
        <w:t>物流董秘林某</w:t>
      </w:r>
      <w:proofErr w:type="gramEnd"/>
      <w:r w:rsidRPr="00247D94">
        <w:rPr>
          <w:rFonts w:ascii="宋体" w:eastAsia="宋体" w:hAnsi="宋体" w:cs="宋体" w:hint="eastAsia"/>
          <w:color w:val="000000"/>
          <w:kern w:val="0"/>
          <w:szCs w:val="21"/>
        </w:rPr>
        <w:t>宽推荐了中特物流。2015年1月26日，华贸物流总经理周某清和</w:t>
      </w:r>
      <w:proofErr w:type="gramStart"/>
      <w:r w:rsidRPr="00247D94">
        <w:rPr>
          <w:rFonts w:ascii="宋体" w:eastAsia="宋体" w:hAnsi="宋体" w:cs="宋体" w:hint="eastAsia"/>
          <w:color w:val="000000"/>
          <w:kern w:val="0"/>
          <w:szCs w:val="21"/>
        </w:rPr>
        <w:t>林某宽赴北京</w:t>
      </w:r>
      <w:proofErr w:type="gramEnd"/>
      <w:r w:rsidRPr="00247D94">
        <w:rPr>
          <w:rFonts w:ascii="宋体" w:eastAsia="宋体" w:hAnsi="宋体" w:cs="宋体" w:hint="eastAsia"/>
          <w:color w:val="000000"/>
          <w:kern w:val="0"/>
          <w:szCs w:val="21"/>
        </w:rPr>
        <w:t>对中特物流进行考察，周某清表达了对中特物流在工程物流业务方面的兴趣。</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1月31日，中特物流董事兼总经理戴某润、</w:t>
      </w:r>
      <w:proofErr w:type="gramStart"/>
      <w:r w:rsidRPr="00247D94">
        <w:rPr>
          <w:rFonts w:ascii="宋体" w:eastAsia="宋体" w:hAnsi="宋体" w:cs="宋体" w:hint="eastAsia"/>
          <w:color w:val="000000"/>
          <w:kern w:val="0"/>
          <w:szCs w:val="21"/>
        </w:rPr>
        <w:t>董秘金某鸣</w:t>
      </w:r>
      <w:proofErr w:type="gramEnd"/>
      <w:r w:rsidRPr="00247D94">
        <w:rPr>
          <w:rFonts w:ascii="宋体" w:eastAsia="宋体" w:hAnsi="宋体" w:cs="宋体" w:hint="eastAsia"/>
          <w:color w:val="000000"/>
          <w:kern w:val="0"/>
          <w:szCs w:val="21"/>
        </w:rPr>
        <w:t>和财务总监林红赴上海对华贸物流进行考察，戴某润表示中特物流有兴趣与华贸物流进行重组。</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3月20日，华贸物流和中特物流及相关中介各方举行见面会。会上双方都表达了与对方进行重组的意愿，并就估值和架构进一步沟通，提出了各自关心的问题。见面会结束后，双方和中介机构继续开展重组工作。</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4月2日，华贸物流发布了股价异常波动公告，公告中承诺公司三个月内不策划重大事项。中特物流通过中介机构询问华贸物流的意图，得到的回复是此公告是上海证券交易所要</w:t>
      </w:r>
      <w:r w:rsidRPr="00247D94">
        <w:rPr>
          <w:rFonts w:ascii="宋体" w:eastAsia="宋体" w:hAnsi="宋体" w:cs="宋体" w:hint="eastAsia"/>
          <w:color w:val="000000"/>
          <w:kern w:val="0"/>
          <w:szCs w:val="21"/>
        </w:rPr>
        <w:lastRenderedPageBreak/>
        <w:t>求的，根据规则无法事先知会中特物流，华贸物流还是愿意与中特物流进行重组，并发送了一份正式的解释邮件，表达了华贸物流与中特物流重组的诚意。</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4月2日至7月，各方继续开展工作推进重组事宜。</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7月21日，华贸物流发布股票停牌公告。停牌期间，华贸物流发布了关于发行股份并收购中特物流的相关公告。</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华贸物流拟发行股份并现金收购资产并募集资金的事项属于《证券法》第六十七条第二款第（二）项规定的“公司的重大投资行为和重大的购置财产的决定”以及第七十五条第二款第（二）项规定的“公司分配股利或增资的计划”的情形，在公开前属于《证券法》第七十五条第二款第（一）项、第（二）项所规定的内幕信息。该内幕信息形成时间不晚于2015年1月31日，公开时间不早于7月21日。时任中特物流财务</w:t>
      </w:r>
      <w:proofErr w:type="gramStart"/>
      <w:r w:rsidRPr="00247D94">
        <w:rPr>
          <w:rFonts w:ascii="宋体" w:eastAsia="宋体" w:hAnsi="宋体" w:cs="宋体" w:hint="eastAsia"/>
          <w:color w:val="000000"/>
          <w:kern w:val="0"/>
          <w:szCs w:val="21"/>
        </w:rPr>
        <w:t>总监林</w:t>
      </w:r>
      <w:proofErr w:type="gramEnd"/>
      <w:r w:rsidRPr="00247D94">
        <w:rPr>
          <w:rFonts w:ascii="宋体" w:eastAsia="宋体" w:hAnsi="宋体" w:cs="宋体" w:hint="eastAsia"/>
          <w:color w:val="000000"/>
          <w:kern w:val="0"/>
          <w:szCs w:val="21"/>
        </w:rPr>
        <w:t>红参与了上述重组有关事项，是内幕信息知情人。</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二、林红内幕交易、泄露内幕信息以及建议他人买卖股票的相关情况</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林红于2015年6月18日、7月15日、7月17日分批买入华贸物流股票，累计买入29,800股，买入金额307,968元。复牌后于2015年12月10日将上述股票全部卖出，盈利29,705.22元。</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在华贸物流重大重组的内幕信息公开前，林红向苏艳芝泄露该信息：林红与苏艳芝</w:t>
      </w:r>
      <w:proofErr w:type="gramStart"/>
      <w:r w:rsidRPr="00247D94">
        <w:rPr>
          <w:rFonts w:ascii="宋体" w:eastAsia="宋体" w:hAnsi="宋体" w:cs="宋体" w:hint="eastAsia"/>
          <w:color w:val="000000"/>
          <w:kern w:val="0"/>
          <w:szCs w:val="21"/>
        </w:rPr>
        <w:t>的微信记录</w:t>
      </w:r>
      <w:proofErr w:type="gramEnd"/>
      <w:r w:rsidRPr="00247D94">
        <w:rPr>
          <w:rFonts w:ascii="宋体" w:eastAsia="宋体" w:hAnsi="宋体" w:cs="宋体" w:hint="eastAsia"/>
          <w:color w:val="000000"/>
          <w:kern w:val="0"/>
          <w:szCs w:val="21"/>
        </w:rPr>
        <w:t>显示，苏艳芝曾向林红询问中特物流的收购方，林红说是华贸物流。林红还在微信中告知对方，自己签了保密协议，不能买“华贸物流”，建议对方最好不要用自己及家人的名字买。同期，苏艳芝利用本人账户和“谭某斯”账户大额买入“华贸物流”，相关交易和联络时点高度接近，且和内幕信息高度吻合。</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在华贸物流重大重组的内幕信息公开前，林红建议王红梅买入华贸物流，王红梅系中特物流财务主管，与林红是同事，两人经常一起交流股票投资。王红梅使用本人账户于2015年7月17日放量买入华贸物流股票，于被调查后将股票全部卖出，相关交易与内幕信息高度吻合，且与平时交易习惯明显不同。王红梅在调查询问笔录中表示，林红曾提示她买入华贸物流。</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三、苏艳芝内幕</w:t>
      </w:r>
      <w:proofErr w:type="gramStart"/>
      <w:r w:rsidRPr="00247D94">
        <w:rPr>
          <w:rFonts w:ascii="宋体" w:eastAsia="宋体" w:hAnsi="宋体" w:cs="宋体" w:hint="eastAsia"/>
          <w:color w:val="000000"/>
          <w:kern w:val="0"/>
          <w:szCs w:val="21"/>
        </w:rPr>
        <w:t>交易华</w:t>
      </w:r>
      <w:proofErr w:type="gramEnd"/>
      <w:r w:rsidRPr="00247D94">
        <w:rPr>
          <w:rFonts w:ascii="宋体" w:eastAsia="宋体" w:hAnsi="宋体" w:cs="宋体" w:hint="eastAsia"/>
          <w:color w:val="000000"/>
          <w:kern w:val="0"/>
          <w:szCs w:val="21"/>
        </w:rPr>
        <w:t>贸物流股票的相关情况</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2015年5月27日下午，苏艳芝</w:t>
      </w:r>
      <w:proofErr w:type="gramStart"/>
      <w:r w:rsidRPr="00247D94">
        <w:rPr>
          <w:rFonts w:ascii="宋体" w:eastAsia="宋体" w:hAnsi="宋体" w:cs="宋体" w:hint="eastAsia"/>
          <w:color w:val="000000"/>
          <w:kern w:val="0"/>
          <w:szCs w:val="21"/>
        </w:rPr>
        <w:t>通过微信与</w:t>
      </w:r>
      <w:proofErr w:type="gramEnd"/>
      <w:r w:rsidRPr="00247D94">
        <w:rPr>
          <w:rFonts w:ascii="宋体" w:eastAsia="宋体" w:hAnsi="宋体" w:cs="宋体" w:hint="eastAsia"/>
          <w:color w:val="000000"/>
          <w:kern w:val="0"/>
          <w:szCs w:val="21"/>
        </w:rPr>
        <w:t>林红讨论华贸物流收购方并问林红自己能不能买，足以证明苏艳芝从林红处知悉内幕信息。此外，林红和苏艳芝联络频繁，2015年7月，苏艳芝和林红共计有28次通话记录。</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苏艳芝利用本人账户和“谭某斯”账户于2015年6月3日至7月20日期间，累计买入华贸物流股票225,800股，成交金额2,632,411元，复牌后陆续卖出，合计亏损166,288.25元。</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四、王红梅内幕</w:t>
      </w:r>
      <w:proofErr w:type="gramStart"/>
      <w:r w:rsidRPr="00247D94">
        <w:rPr>
          <w:rFonts w:ascii="宋体" w:eastAsia="宋体" w:hAnsi="宋体" w:cs="宋体" w:hint="eastAsia"/>
          <w:color w:val="000000"/>
          <w:kern w:val="0"/>
          <w:szCs w:val="21"/>
        </w:rPr>
        <w:t>交易华</w:t>
      </w:r>
      <w:proofErr w:type="gramEnd"/>
      <w:r w:rsidRPr="00247D94">
        <w:rPr>
          <w:rFonts w:ascii="宋体" w:eastAsia="宋体" w:hAnsi="宋体" w:cs="宋体" w:hint="eastAsia"/>
          <w:color w:val="000000"/>
          <w:kern w:val="0"/>
          <w:szCs w:val="21"/>
        </w:rPr>
        <w:t>贸物流股票的相关情况</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王红梅是林红的下属，经常与林红交流股票信息，林红曾向其推荐购买华贸物流股票，两人在内幕信息形成后存在联络接触，同期王红梅账户亏损卖出部分股票和基金，于2015年7月17日放量买入华贸物流股票12,000股，成交金额116,040元。华贸物流复牌后，王红梅将上述股票全部卖出，累计盈利32,281.88元。</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lastRenderedPageBreak/>
        <w:t>以上事实，有相关人员询问笔录、通讯记录、上市公司公告、相关账户交易流水、相关投资顾问合同等证据证明，足以认定。</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林红、苏艳芝、王红梅在内幕信息公开前</w:t>
      </w:r>
      <w:proofErr w:type="gramStart"/>
      <w:r w:rsidRPr="00247D94">
        <w:rPr>
          <w:rFonts w:ascii="宋体" w:eastAsia="宋体" w:hAnsi="宋体" w:cs="宋体" w:hint="eastAsia"/>
          <w:color w:val="000000"/>
          <w:kern w:val="0"/>
          <w:szCs w:val="21"/>
        </w:rPr>
        <w:t>交易华</w:t>
      </w:r>
      <w:proofErr w:type="gramEnd"/>
      <w:r w:rsidRPr="00247D94">
        <w:rPr>
          <w:rFonts w:ascii="宋体" w:eastAsia="宋体" w:hAnsi="宋体" w:cs="宋体" w:hint="eastAsia"/>
          <w:color w:val="000000"/>
          <w:kern w:val="0"/>
          <w:szCs w:val="21"/>
        </w:rPr>
        <w:t>贸物流股票的行为以及林红在内幕信息公开前泄露内幕信息、建议他人买卖相关股票的行为涉嫌违反《证券法》第七十三条和第七十六条第一款的规定，构成了《证券法》第二百零二条所述的内幕交易行为。</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当事人向我会提交了书面申辩意见。林红提出：1. 购买“华贸物流”时并无确切消息，并不构成利用内幕信息。2. 其没有提示和建议他人买卖股票，也没有泄露内幕信息。恳请免于处罚。</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苏艳芝提出：1. 自己并不知道内幕信息，买入决策是依据公开信息</w:t>
      </w:r>
      <w:proofErr w:type="gramStart"/>
      <w:r w:rsidRPr="00247D94">
        <w:rPr>
          <w:rFonts w:ascii="宋体" w:eastAsia="宋体" w:hAnsi="宋体" w:cs="宋体" w:hint="eastAsia"/>
          <w:color w:val="000000"/>
          <w:kern w:val="0"/>
          <w:szCs w:val="21"/>
        </w:rPr>
        <w:t>作出</w:t>
      </w:r>
      <w:proofErr w:type="gramEnd"/>
      <w:r w:rsidRPr="00247D94">
        <w:rPr>
          <w:rFonts w:ascii="宋体" w:eastAsia="宋体" w:hAnsi="宋体" w:cs="宋体" w:hint="eastAsia"/>
          <w:color w:val="000000"/>
          <w:kern w:val="0"/>
          <w:szCs w:val="21"/>
        </w:rPr>
        <w:t>。2. 本人家庭困难，恳请免于处罚。</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王红梅提出：1. 卖出决定是在接受调查后根据调查人员意见</w:t>
      </w:r>
      <w:proofErr w:type="gramStart"/>
      <w:r w:rsidRPr="00247D94">
        <w:rPr>
          <w:rFonts w:ascii="宋体" w:eastAsia="宋体" w:hAnsi="宋体" w:cs="宋体" w:hint="eastAsia"/>
          <w:color w:val="000000"/>
          <w:kern w:val="0"/>
          <w:szCs w:val="21"/>
        </w:rPr>
        <w:t>作出</w:t>
      </w:r>
      <w:proofErr w:type="gramEnd"/>
      <w:r w:rsidRPr="00247D94">
        <w:rPr>
          <w:rFonts w:ascii="宋体" w:eastAsia="宋体" w:hAnsi="宋体" w:cs="宋体" w:hint="eastAsia"/>
          <w:color w:val="000000"/>
          <w:kern w:val="0"/>
          <w:szCs w:val="21"/>
        </w:rPr>
        <w:t>，不是主动卖出。2. 交易金额很小，没有社会危害。恳请免于处罚。</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针对林红、苏艳芝、王红梅的申辩意见，我会认为：第一，本案所认定内幕信息敏感期间，相关各方已经开始筹划、准备实施涉案重组事项，涉案内幕信息已经形成。</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第二，我会所认定涉案违法行为事实清楚，相关当事人所提出申辩理由缺乏事实依据，且我会所</w:t>
      </w:r>
      <w:proofErr w:type="gramStart"/>
      <w:r w:rsidRPr="00247D94">
        <w:rPr>
          <w:rFonts w:ascii="宋体" w:eastAsia="宋体" w:hAnsi="宋体" w:cs="宋体" w:hint="eastAsia"/>
          <w:color w:val="000000"/>
          <w:kern w:val="0"/>
          <w:szCs w:val="21"/>
        </w:rPr>
        <w:t>作出</w:t>
      </w:r>
      <w:proofErr w:type="gramEnd"/>
      <w:r w:rsidRPr="00247D94">
        <w:rPr>
          <w:rFonts w:ascii="宋体" w:eastAsia="宋体" w:hAnsi="宋体" w:cs="宋体" w:hint="eastAsia"/>
          <w:color w:val="000000"/>
          <w:kern w:val="0"/>
          <w:szCs w:val="21"/>
        </w:rPr>
        <w:t>处罚的幅度已充分考虑各当事人违法行为的情节和社会危害。</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第三，当事人所称家庭困难等事项不属于《行政处罚法》所规定的可以从轻、减轻或免于处罚的情形。</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根据当事人违法行为的事实、性质、情节与社会危害程度，依据《证券法》第二百零二条的规定，我会决定：</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一、没收林红内幕交易违法所得29,705元，对其内幕交易行为、泄露内幕信息行为、建议他人买卖证券行为分别处以10万元罚款，合计罚款30万元。</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二、</w:t>
      </w:r>
      <w:proofErr w:type="gramStart"/>
      <w:r w:rsidRPr="00247D94">
        <w:rPr>
          <w:rFonts w:ascii="宋体" w:eastAsia="宋体" w:hAnsi="宋体" w:cs="宋体" w:hint="eastAsia"/>
          <w:color w:val="000000"/>
          <w:kern w:val="0"/>
          <w:szCs w:val="21"/>
        </w:rPr>
        <w:t>对苏艳芝</w:t>
      </w:r>
      <w:proofErr w:type="gramEnd"/>
      <w:r w:rsidRPr="00247D94">
        <w:rPr>
          <w:rFonts w:ascii="宋体" w:eastAsia="宋体" w:hAnsi="宋体" w:cs="宋体" w:hint="eastAsia"/>
          <w:color w:val="000000"/>
          <w:kern w:val="0"/>
          <w:szCs w:val="21"/>
        </w:rPr>
        <w:t>处以30万元罚款。</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三、没收王红梅内幕交易违法所得32,281.88元，并处以32,281.88元罚款。</w:t>
      </w:r>
    </w:p>
    <w:p w:rsidR="00247D94" w:rsidRPr="00247D94" w:rsidRDefault="00247D94" w:rsidP="00247D94">
      <w:pPr>
        <w:widowControl/>
        <w:shd w:val="clear" w:color="auto" w:fill="FFFFFF"/>
        <w:spacing w:line="360" w:lineRule="atLeast"/>
        <w:ind w:firstLine="420"/>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247D94">
        <w:rPr>
          <w:rFonts w:ascii="宋体" w:eastAsia="宋体" w:hAnsi="宋体" w:cs="宋体" w:hint="eastAsia"/>
          <w:color w:val="000000"/>
          <w:kern w:val="0"/>
          <w:szCs w:val="21"/>
        </w:rPr>
        <w:t>汇缴专户</w:t>
      </w:r>
      <w:proofErr w:type="gramEnd"/>
      <w:r w:rsidRPr="00247D94">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247D94" w:rsidRPr="00247D94" w:rsidRDefault="00247D94" w:rsidP="00247D9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 xml:space="preserve">中国证监会　　 　　</w:t>
      </w:r>
      <w:proofErr w:type="gramStart"/>
      <w:r w:rsidRPr="00247D94">
        <w:rPr>
          <w:rFonts w:ascii="宋体" w:eastAsia="宋体" w:hAnsi="宋体" w:cs="宋体" w:hint="eastAsia"/>
          <w:color w:val="000000"/>
          <w:kern w:val="0"/>
          <w:szCs w:val="21"/>
        </w:rPr>
        <w:t xml:space="preserve">　</w:t>
      </w:r>
      <w:proofErr w:type="gramEnd"/>
    </w:p>
    <w:p w:rsidR="00247D94" w:rsidRPr="00247D94" w:rsidRDefault="00247D94" w:rsidP="00247D9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47D94">
        <w:rPr>
          <w:rFonts w:ascii="宋体" w:eastAsia="宋体" w:hAnsi="宋体" w:cs="宋体" w:hint="eastAsia"/>
          <w:color w:val="000000"/>
          <w:kern w:val="0"/>
          <w:szCs w:val="21"/>
        </w:rPr>
        <w:t xml:space="preserve">2018年11月13日　　</w:t>
      </w:r>
      <w:proofErr w:type="gramStart"/>
      <w:r w:rsidRPr="00247D94">
        <w:rPr>
          <w:rFonts w:ascii="宋体" w:eastAsia="宋体" w:hAnsi="宋体" w:cs="宋体" w:hint="eastAsia"/>
          <w:color w:val="000000"/>
          <w:kern w:val="0"/>
          <w:szCs w:val="21"/>
        </w:rPr>
        <w:t xml:space="preserve">　　</w:t>
      </w:r>
      <w:proofErr w:type="gramEnd"/>
    </w:p>
    <w:p w:rsidR="00247D94" w:rsidRPr="00247D94" w:rsidRDefault="00247D94" w:rsidP="00247D94">
      <w:pPr>
        <w:widowControl/>
        <w:shd w:val="clear" w:color="auto" w:fill="FFFFFF"/>
        <w:spacing w:line="360" w:lineRule="atLeast"/>
        <w:ind w:firstLine="298"/>
        <w:jc w:val="left"/>
        <w:rPr>
          <w:rFonts w:ascii="楷体" w:eastAsia="楷体" w:hAnsi="楷体" w:cs="宋体" w:hint="eastAsia"/>
          <w:color w:val="000000"/>
          <w:kern w:val="0"/>
          <w:sz w:val="24"/>
          <w:szCs w:val="24"/>
        </w:rPr>
      </w:pPr>
      <w:r w:rsidRPr="00247D94">
        <w:rPr>
          <w:rFonts w:ascii="楷体" w:eastAsia="楷体" w:hAnsi="楷体" w:cs="宋体"/>
          <w:noProof/>
          <w:color w:val="000000"/>
          <w:kern w:val="0"/>
          <w:sz w:val="24"/>
          <w:szCs w:val="24"/>
        </w:rPr>
        <w:drawing>
          <wp:inline distT="0" distB="0" distL="0" distR="0">
            <wp:extent cx="1990725" cy="828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828675"/>
                    </a:xfrm>
                    <a:prstGeom prst="rect">
                      <a:avLst/>
                    </a:prstGeom>
                    <a:noFill/>
                    <a:ln>
                      <a:noFill/>
                    </a:ln>
                  </pic:spPr>
                </pic:pic>
              </a:graphicData>
            </a:graphic>
          </wp:inline>
        </w:drawing>
      </w:r>
    </w:p>
    <w:p w:rsidR="00247D94" w:rsidRPr="00247D94" w:rsidRDefault="00247D94" w:rsidP="00247D94">
      <w:pPr>
        <w:widowControl/>
        <w:shd w:val="clear" w:color="auto" w:fill="FFFFFF"/>
        <w:spacing w:line="408" w:lineRule="atLeast"/>
        <w:jc w:val="left"/>
        <w:rPr>
          <w:rFonts w:ascii="楷体" w:eastAsia="楷体" w:hAnsi="楷体" w:cs="宋体" w:hint="eastAsia"/>
          <w:color w:val="000000"/>
          <w:kern w:val="0"/>
          <w:sz w:val="24"/>
          <w:szCs w:val="24"/>
        </w:rPr>
      </w:pPr>
      <w:r w:rsidRPr="00247D94">
        <w:rPr>
          <w:rFonts w:ascii="Calibri" w:eastAsia="楷体" w:hAnsi="Calibri" w:cs="Calibri"/>
          <w:color w:val="000000"/>
          <w:kern w:val="0"/>
          <w:sz w:val="24"/>
          <w:szCs w:val="24"/>
        </w:rPr>
        <w:t> </w:t>
      </w:r>
    </w:p>
    <w:p w:rsidR="00247D94" w:rsidRPr="00247D94" w:rsidRDefault="00247D94" w:rsidP="00247D9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47D94" w:rsidRPr="00247D94" w:rsidTr="00247D94">
        <w:trPr>
          <w:tblCellSpacing w:w="15" w:type="dxa"/>
          <w:jc w:val="center"/>
        </w:trPr>
        <w:tc>
          <w:tcPr>
            <w:tcW w:w="900" w:type="dxa"/>
            <w:vAlign w:val="center"/>
            <w:hideMark/>
          </w:tcPr>
          <w:p w:rsidR="00247D94" w:rsidRPr="00247D94" w:rsidRDefault="00247D94" w:rsidP="00247D94">
            <w:pPr>
              <w:widowControl/>
              <w:jc w:val="left"/>
              <w:rPr>
                <w:rFonts w:ascii="宋体" w:eastAsia="宋体" w:hAnsi="宋体" w:cs="宋体" w:hint="eastAsia"/>
                <w:kern w:val="0"/>
                <w:sz w:val="18"/>
                <w:szCs w:val="18"/>
              </w:rPr>
            </w:pPr>
            <w:r w:rsidRPr="00247D94">
              <w:rPr>
                <w:rFonts w:ascii="宋体" w:eastAsia="宋体" w:hAnsi="宋体" w:cs="宋体"/>
                <w:kern w:val="0"/>
                <w:sz w:val="18"/>
                <w:szCs w:val="18"/>
              </w:rPr>
              <w:lastRenderedPageBreak/>
              <w:t> </w:t>
            </w:r>
          </w:p>
        </w:tc>
        <w:tc>
          <w:tcPr>
            <w:tcW w:w="1200" w:type="dxa"/>
            <w:vAlign w:val="center"/>
            <w:hideMark/>
          </w:tcPr>
          <w:p w:rsidR="00247D94" w:rsidRPr="00247D94" w:rsidRDefault="00247D94" w:rsidP="00247D94">
            <w:pPr>
              <w:widowControl/>
              <w:jc w:val="left"/>
              <w:rPr>
                <w:rFonts w:ascii="宋体" w:eastAsia="宋体" w:hAnsi="宋体" w:cs="宋体"/>
                <w:kern w:val="0"/>
                <w:sz w:val="18"/>
                <w:szCs w:val="18"/>
              </w:rPr>
            </w:pPr>
            <w:r w:rsidRPr="00247D9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47D94" w:rsidRPr="00247D94" w:rsidRDefault="00247D94" w:rsidP="00247D94">
            <w:pPr>
              <w:widowControl/>
              <w:jc w:val="left"/>
              <w:rPr>
                <w:rFonts w:ascii="宋体" w:eastAsia="宋体" w:hAnsi="宋体" w:cs="宋体"/>
                <w:kern w:val="0"/>
                <w:sz w:val="18"/>
                <w:szCs w:val="18"/>
              </w:rPr>
            </w:pPr>
            <w:r w:rsidRPr="00247D9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47D94" w:rsidRPr="00247D94" w:rsidRDefault="00247D94" w:rsidP="00247D94">
            <w:pPr>
              <w:widowControl/>
              <w:jc w:val="left"/>
              <w:rPr>
                <w:rFonts w:ascii="宋体" w:eastAsia="宋体" w:hAnsi="宋体" w:cs="宋体"/>
                <w:kern w:val="0"/>
                <w:sz w:val="18"/>
                <w:szCs w:val="18"/>
              </w:rPr>
            </w:pPr>
            <w:r w:rsidRPr="00247D9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47D94" w:rsidRPr="00247D94" w:rsidRDefault="00247D94" w:rsidP="00247D94">
      <w:pPr>
        <w:widowControl/>
        <w:jc w:val="center"/>
        <w:rPr>
          <w:rFonts w:ascii="微软雅黑" w:eastAsia="微软雅黑" w:hAnsi="微软雅黑" w:cs="宋体"/>
          <w:color w:val="515151"/>
          <w:kern w:val="0"/>
          <w:sz w:val="18"/>
          <w:szCs w:val="18"/>
        </w:rPr>
      </w:pPr>
      <w:hyperlink r:id="rId12" w:tgtFrame="_blank" w:history="1">
        <w:r w:rsidRPr="00247D94">
          <w:rPr>
            <w:rFonts w:ascii="微软雅黑" w:eastAsia="微软雅黑" w:hAnsi="微软雅黑" w:cs="宋体" w:hint="eastAsia"/>
            <w:color w:val="0000FF"/>
            <w:kern w:val="0"/>
            <w:sz w:val="18"/>
            <w:szCs w:val="18"/>
            <w:u w:val="single"/>
          </w:rPr>
          <w:t>关于我们</w:t>
        </w:r>
      </w:hyperlink>
      <w:r w:rsidRPr="00247D94">
        <w:rPr>
          <w:rFonts w:ascii="微软雅黑" w:eastAsia="微软雅黑" w:hAnsi="微软雅黑" w:cs="宋体" w:hint="eastAsia"/>
          <w:color w:val="515151"/>
          <w:kern w:val="0"/>
          <w:sz w:val="18"/>
          <w:szCs w:val="18"/>
        </w:rPr>
        <w:t> - </w:t>
      </w:r>
      <w:hyperlink r:id="rId13" w:tgtFrame="_blank" w:history="1">
        <w:r w:rsidRPr="00247D94">
          <w:rPr>
            <w:rFonts w:ascii="微软雅黑" w:eastAsia="微软雅黑" w:hAnsi="微软雅黑" w:cs="宋体" w:hint="eastAsia"/>
            <w:color w:val="0000FF"/>
            <w:kern w:val="0"/>
            <w:sz w:val="18"/>
            <w:szCs w:val="18"/>
            <w:u w:val="single"/>
          </w:rPr>
          <w:t>法律声明</w:t>
        </w:r>
      </w:hyperlink>
      <w:r w:rsidRPr="00247D94">
        <w:rPr>
          <w:rFonts w:ascii="微软雅黑" w:eastAsia="微软雅黑" w:hAnsi="微软雅黑" w:cs="宋体" w:hint="eastAsia"/>
          <w:color w:val="515151"/>
          <w:kern w:val="0"/>
          <w:sz w:val="18"/>
          <w:szCs w:val="18"/>
        </w:rPr>
        <w:t> - </w:t>
      </w:r>
      <w:hyperlink r:id="rId14" w:tgtFrame="_blank" w:history="1">
        <w:r w:rsidRPr="00247D94">
          <w:rPr>
            <w:rFonts w:ascii="微软雅黑" w:eastAsia="微软雅黑" w:hAnsi="微软雅黑" w:cs="宋体" w:hint="eastAsia"/>
            <w:color w:val="0000FF"/>
            <w:kern w:val="0"/>
            <w:sz w:val="18"/>
            <w:szCs w:val="18"/>
            <w:u w:val="single"/>
          </w:rPr>
          <w:t>联系我们</w:t>
        </w:r>
      </w:hyperlink>
    </w:p>
    <w:p w:rsidR="00247D94" w:rsidRPr="00247D94" w:rsidRDefault="00247D94" w:rsidP="00247D94">
      <w:pPr>
        <w:widowControl/>
        <w:jc w:val="center"/>
        <w:rPr>
          <w:rFonts w:ascii="微软雅黑" w:eastAsia="微软雅黑" w:hAnsi="微软雅黑" w:cs="宋体" w:hint="eastAsia"/>
          <w:color w:val="515151"/>
          <w:kern w:val="0"/>
          <w:sz w:val="18"/>
          <w:szCs w:val="18"/>
        </w:rPr>
      </w:pPr>
      <w:r w:rsidRPr="00247D94">
        <w:rPr>
          <w:rFonts w:ascii="微软雅黑" w:eastAsia="微软雅黑" w:hAnsi="微软雅黑" w:cs="宋体" w:hint="eastAsia"/>
          <w:color w:val="515151"/>
          <w:kern w:val="0"/>
          <w:sz w:val="18"/>
          <w:szCs w:val="18"/>
        </w:rPr>
        <w:t>版权所有：中国证券监督管理委员会 京ICP备 05035542号</w:t>
      </w:r>
    </w:p>
    <w:p w:rsidR="00247D94" w:rsidRPr="00247D94" w:rsidRDefault="00247D94" w:rsidP="00247D94">
      <w:pPr>
        <w:widowControl/>
        <w:jc w:val="center"/>
        <w:rPr>
          <w:rFonts w:ascii="微软雅黑" w:eastAsia="微软雅黑" w:hAnsi="微软雅黑" w:cs="宋体" w:hint="eastAsia"/>
          <w:color w:val="515151"/>
          <w:kern w:val="0"/>
          <w:sz w:val="18"/>
          <w:szCs w:val="18"/>
        </w:rPr>
      </w:pPr>
      <w:r w:rsidRPr="00247D94">
        <w:rPr>
          <w:rFonts w:ascii="微软雅黑" w:eastAsia="微软雅黑" w:hAnsi="微软雅黑" w:cs="宋体" w:hint="eastAsia"/>
          <w:color w:val="515151"/>
          <w:kern w:val="0"/>
          <w:sz w:val="18"/>
          <w:szCs w:val="18"/>
        </w:rPr>
        <w:t>地址：北京市西城区金融大街19号富凯大厦A座 邮编：100033</w:t>
      </w:r>
    </w:p>
    <w:p w:rsidR="00247D94" w:rsidRPr="00247D94" w:rsidRDefault="00247D94" w:rsidP="00247D94">
      <w:pPr>
        <w:widowControl/>
        <w:jc w:val="center"/>
        <w:rPr>
          <w:rFonts w:ascii="微软雅黑" w:eastAsia="微软雅黑" w:hAnsi="微软雅黑" w:cs="宋体" w:hint="eastAsia"/>
          <w:color w:val="515151"/>
          <w:kern w:val="0"/>
          <w:sz w:val="18"/>
          <w:szCs w:val="18"/>
        </w:rPr>
      </w:pPr>
      <w:r w:rsidRPr="00247D94">
        <w:rPr>
          <w:rFonts w:ascii="微软雅黑" w:eastAsia="微软雅黑" w:hAnsi="微软雅黑" w:cs="宋体" w:hint="eastAsia"/>
          <w:color w:val="515151"/>
          <w:kern w:val="0"/>
          <w:sz w:val="18"/>
          <w:szCs w:val="18"/>
        </w:rPr>
        <w:t>建议使用IE5.5以上浏览器，分辨率1024*768</w:t>
      </w:r>
    </w:p>
    <w:p w:rsidR="00A55C11" w:rsidRPr="00247D94" w:rsidRDefault="00A55C11"/>
    <w:sectPr w:rsidR="00A55C11" w:rsidRPr="00247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94"/>
    <w:rsid w:val="00247D94"/>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A2AA5-31E4-4FFA-86F6-FD263A06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7D9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7D94"/>
    <w:rPr>
      <w:b/>
      <w:bCs/>
    </w:rPr>
  </w:style>
  <w:style w:type="paragraph" w:customStyle="1" w:styleId="p0">
    <w:name w:val="p0"/>
    <w:basedOn w:val="a"/>
    <w:rsid w:val="00247D9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47D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75065">
      <w:bodyDiv w:val="1"/>
      <w:marLeft w:val="0"/>
      <w:marRight w:val="0"/>
      <w:marTop w:val="0"/>
      <w:marBottom w:val="0"/>
      <w:divBdr>
        <w:top w:val="none" w:sz="0" w:space="0" w:color="auto"/>
        <w:left w:val="none" w:sz="0" w:space="0" w:color="auto"/>
        <w:bottom w:val="none" w:sz="0" w:space="0" w:color="auto"/>
        <w:right w:val="none" w:sz="0" w:space="0" w:color="auto"/>
      </w:divBdr>
      <w:divsChild>
        <w:div w:id="7684850">
          <w:marLeft w:val="0"/>
          <w:marRight w:val="0"/>
          <w:marTop w:val="150"/>
          <w:marBottom w:val="150"/>
          <w:divBdr>
            <w:top w:val="none" w:sz="0" w:space="0" w:color="auto"/>
            <w:left w:val="none" w:sz="0" w:space="0" w:color="auto"/>
            <w:bottom w:val="none" w:sz="0" w:space="0" w:color="auto"/>
            <w:right w:val="none" w:sz="0" w:space="0" w:color="auto"/>
          </w:divBdr>
        </w:div>
        <w:div w:id="1811366465">
          <w:marLeft w:val="0"/>
          <w:marRight w:val="0"/>
          <w:marTop w:val="0"/>
          <w:marBottom w:val="0"/>
          <w:divBdr>
            <w:top w:val="single" w:sz="6" w:space="8" w:color="B5B5B5"/>
            <w:left w:val="single" w:sz="6" w:space="0" w:color="B5B5B5"/>
            <w:bottom w:val="single" w:sz="6" w:space="8" w:color="B5B5B5"/>
            <w:right w:val="single" w:sz="6" w:space="0" w:color="B5B5B5"/>
          </w:divBdr>
          <w:divsChild>
            <w:div w:id="1398938984">
              <w:marLeft w:val="0"/>
              <w:marRight w:val="0"/>
              <w:marTop w:val="0"/>
              <w:marBottom w:val="0"/>
              <w:divBdr>
                <w:top w:val="none" w:sz="0" w:space="0" w:color="auto"/>
                <w:left w:val="none" w:sz="0" w:space="0" w:color="auto"/>
                <w:bottom w:val="none" w:sz="0" w:space="0" w:color="auto"/>
                <w:right w:val="none" w:sz="0" w:space="0" w:color="auto"/>
              </w:divBdr>
            </w:div>
            <w:div w:id="450318989">
              <w:marLeft w:val="0"/>
              <w:marRight w:val="0"/>
              <w:marTop w:val="0"/>
              <w:marBottom w:val="0"/>
              <w:divBdr>
                <w:top w:val="none" w:sz="0" w:space="0" w:color="auto"/>
                <w:left w:val="none" w:sz="0" w:space="0" w:color="auto"/>
                <w:bottom w:val="none" w:sz="0" w:space="0" w:color="auto"/>
                <w:right w:val="none" w:sz="0" w:space="0" w:color="auto"/>
              </w:divBdr>
              <w:divsChild>
                <w:div w:id="736316565">
                  <w:marLeft w:val="0"/>
                  <w:marRight w:val="0"/>
                  <w:marTop w:val="0"/>
                  <w:marBottom w:val="0"/>
                  <w:divBdr>
                    <w:top w:val="none" w:sz="0" w:space="0" w:color="auto"/>
                    <w:left w:val="none" w:sz="0" w:space="0" w:color="auto"/>
                    <w:bottom w:val="none" w:sz="0" w:space="0" w:color="auto"/>
                    <w:right w:val="none" w:sz="0" w:space="0" w:color="auto"/>
                  </w:divBdr>
                </w:div>
              </w:divsChild>
            </w:div>
            <w:div w:id="185676042">
              <w:marLeft w:val="0"/>
              <w:marRight w:val="0"/>
              <w:marTop w:val="120"/>
              <w:marBottom w:val="120"/>
              <w:divBdr>
                <w:top w:val="none" w:sz="0" w:space="0" w:color="auto"/>
                <w:left w:val="none" w:sz="0" w:space="0" w:color="auto"/>
                <w:bottom w:val="none" w:sz="0" w:space="0" w:color="auto"/>
                <w:right w:val="none" w:sz="0" w:space="0" w:color="auto"/>
              </w:divBdr>
            </w:div>
          </w:divsChild>
        </w:div>
        <w:div w:id="532613487">
          <w:marLeft w:val="0"/>
          <w:marRight w:val="0"/>
          <w:marTop w:val="120"/>
          <w:marBottom w:val="0"/>
          <w:divBdr>
            <w:top w:val="none" w:sz="0" w:space="0" w:color="auto"/>
            <w:left w:val="none" w:sz="0" w:space="0" w:color="auto"/>
            <w:bottom w:val="none" w:sz="0" w:space="0" w:color="auto"/>
            <w:right w:val="none" w:sz="0" w:space="0" w:color="auto"/>
          </w:divBdr>
          <w:divsChild>
            <w:div w:id="1485852709">
              <w:marLeft w:val="0"/>
              <w:marRight w:val="0"/>
              <w:marTop w:val="60"/>
              <w:marBottom w:val="0"/>
              <w:divBdr>
                <w:top w:val="none" w:sz="0" w:space="0" w:color="auto"/>
                <w:left w:val="none" w:sz="0" w:space="0" w:color="auto"/>
                <w:bottom w:val="none" w:sz="0" w:space="0" w:color="auto"/>
                <w:right w:val="none" w:sz="0" w:space="0" w:color="auto"/>
              </w:divBdr>
            </w:div>
            <w:div w:id="1252157435">
              <w:marLeft w:val="0"/>
              <w:marRight w:val="0"/>
              <w:marTop w:val="60"/>
              <w:marBottom w:val="0"/>
              <w:divBdr>
                <w:top w:val="none" w:sz="0" w:space="0" w:color="auto"/>
                <w:left w:val="none" w:sz="0" w:space="0" w:color="auto"/>
                <w:bottom w:val="none" w:sz="0" w:space="0" w:color="auto"/>
                <w:right w:val="none" w:sz="0" w:space="0" w:color="auto"/>
              </w:divBdr>
            </w:div>
            <w:div w:id="917905044">
              <w:marLeft w:val="0"/>
              <w:marRight w:val="0"/>
              <w:marTop w:val="60"/>
              <w:marBottom w:val="0"/>
              <w:divBdr>
                <w:top w:val="none" w:sz="0" w:space="0" w:color="auto"/>
                <w:left w:val="none" w:sz="0" w:space="0" w:color="auto"/>
                <w:bottom w:val="none" w:sz="0" w:space="0" w:color="auto"/>
                <w:right w:val="none" w:sz="0" w:space="0" w:color="auto"/>
              </w:divBdr>
            </w:div>
            <w:div w:id="7127352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c.gov.cn/pub/zjhpublic/G00306212/201811/t20181121_347036.htm?keywords=%E5%86%85%E5%B9%95%E4%BA%A4%E6%98%93" TargetMode="External"/><Relationship Id="rId13" Type="http://schemas.openxmlformats.org/officeDocument/2006/relationships/hyperlink" Target="http://www.csrc.gov.cn/pub/newsite/fzlm/fls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csrc.gov.cn/pub/newsite/fzlm/gyw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6.gif"/><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hyperlink" Target="http://www.csrc.gov.cn/pub/newsite/fzlm/lxw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2020-02-15T11:40:00Z</dcterms:created>
  <dcterms:modified xsi:type="dcterms:W3CDTF">2020-02-15T11:40:00Z</dcterms:modified>
</cp:coreProperties>
</file>