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0EB" w:rsidRPr="007710EB" w:rsidRDefault="007710EB" w:rsidP="007710EB">
      <w:pPr>
        <w:widowControl/>
        <w:jc w:val="center"/>
        <w:rPr>
          <w:rFonts w:ascii="微软雅黑" w:eastAsia="微软雅黑" w:hAnsi="微软雅黑" w:cs="宋体"/>
          <w:color w:val="000000"/>
          <w:kern w:val="0"/>
          <w:sz w:val="18"/>
          <w:szCs w:val="18"/>
        </w:rPr>
      </w:pPr>
      <w:r w:rsidRPr="007710E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7710EB" w:rsidRPr="007710EB" w:rsidTr="007710EB">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710EB" w:rsidRPr="007710EB">
              <w:trPr>
                <w:tblCellSpacing w:w="0" w:type="dxa"/>
              </w:trPr>
              <w:tc>
                <w:tcPr>
                  <w:tcW w:w="2500" w:type="pct"/>
                  <w:tcMar>
                    <w:top w:w="30" w:type="dxa"/>
                    <w:left w:w="30" w:type="dxa"/>
                    <w:bottom w:w="30" w:type="dxa"/>
                    <w:right w:w="30" w:type="dxa"/>
                  </w:tcMar>
                  <w:hideMark/>
                </w:tcPr>
                <w:p w:rsidR="007710EB" w:rsidRPr="007710EB" w:rsidRDefault="007710EB" w:rsidP="007710EB">
                  <w:pPr>
                    <w:widowControl/>
                    <w:jc w:val="left"/>
                    <w:rPr>
                      <w:rFonts w:ascii="宋体" w:eastAsia="宋体" w:hAnsi="宋体" w:cs="宋体" w:hint="eastAsia"/>
                      <w:color w:val="686868"/>
                      <w:kern w:val="0"/>
                      <w:sz w:val="18"/>
                      <w:szCs w:val="18"/>
                    </w:rPr>
                  </w:pPr>
                  <w:r w:rsidRPr="007710EB">
                    <w:rPr>
                      <w:rFonts w:ascii="宋体" w:eastAsia="宋体" w:hAnsi="宋体" w:cs="宋体"/>
                      <w:b/>
                      <w:bCs/>
                      <w:color w:val="686868"/>
                      <w:kern w:val="0"/>
                      <w:sz w:val="18"/>
                      <w:szCs w:val="18"/>
                    </w:rPr>
                    <w:t>索 引 号:</w:t>
                  </w:r>
                  <w:r w:rsidRPr="007710EB">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710EB" w:rsidRPr="007710EB" w:rsidRDefault="007710EB" w:rsidP="007710EB">
                  <w:pPr>
                    <w:widowControl/>
                    <w:jc w:val="left"/>
                    <w:rPr>
                      <w:rFonts w:ascii="宋体" w:eastAsia="宋体" w:hAnsi="宋体" w:cs="宋体"/>
                      <w:color w:val="686868"/>
                      <w:kern w:val="0"/>
                      <w:sz w:val="18"/>
                      <w:szCs w:val="18"/>
                    </w:rPr>
                  </w:pPr>
                  <w:r w:rsidRPr="007710EB">
                    <w:rPr>
                      <w:rFonts w:ascii="宋体" w:eastAsia="宋体" w:hAnsi="宋体" w:cs="宋体"/>
                      <w:b/>
                      <w:bCs/>
                      <w:color w:val="686868"/>
                      <w:kern w:val="0"/>
                      <w:sz w:val="18"/>
                      <w:szCs w:val="18"/>
                    </w:rPr>
                    <w:t>分类:</w:t>
                  </w:r>
                  <w:r w:rsidRPr="007710EB">
                    <w:rPr>
                      <w:rFonts w:ascii="宋体" w:eastAsia="宋体" w:hAnsi="宋体" w:cs="宋体"/>
                      <w:color w:val="686868"/>
                      <w:kern w:val="0"/>
                      <w:sz w:val="18"/>
                      <w:szCs w:val="18"/>
                    </w:rPr>
                    <w:t> 行政处罚 ; 行政处罚决定</w:t>
                  </w:r>
                </w:p>
              </w:tc>
            </w:tr>
          </w:tbl>
          <w:p w:rsidR="007710EB" w:rsidRPr="007710EB" w:rsidRDefault="007710EB" w:rsidP="007710EB">
            <w:pPr>
              <w:widowControl/>
              <w:jc w:val="left"/>
              <w:rPr>
                <w:rFonts w:ascii="宋体" w:eastAsia="宋体" w:hAnsi="宋体" w:cs="宋体"/>
                <w:color w:val="686868"/>
                <w:kern w:val="0"/>
                <w:sz w:val="18"/>
                <w:szCs w:val="18"/>
              </w:rPr>
            </w:pPr>
          </w:p>
        </w:tc>
      </w:tr>
      <w:tr w:rsidR="007710EB" w:rsidRPr="007710EB" w:rsidTr="007710EB">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710EB" w:rsidRPr="007710EB">
              <w:trPr>
                <w:tblCellSpacing w:w="0" w:type="dxa"/>
              </w:trPr>
              <w:tc>
                <w:tcPr>
                  <w:tcW w:w="2500" w:type="pct"/>
                  <w:tcMar>
                    <w:top w:w="30" w:type="dxa"/>
                    <w:left w:w="30" w:type="dxa"/>
                    <w:bottom w:w="30" w:type="dxa"/>
                    <w:right w:w="30" w:type="dxa"/>
                  </w:tcMar>
                  <w:hideMark/>
                </w:tcPr>
                <w:p w:rsidR="007710EB" w:rsidRPr="007710EB" w:rsidRDefault="007710EB" w:rsidP="007710EB">
                  <w:pPr>
                    <w:widowControl/>
                    <w:jc w:val="left"/>
                    <w:rPr>
                      <w:rFonts w:ascii="宋体" w:eastAsia="宋体" w:hAnsi="宋体" w:cs="宋体"/>
                      <w:color w:val="686868"/>
                      <w:kern w:val="0"/>
                      <w:sz w:val="18"/>
                      <w:szCs w:val="18"/>
                    </w:rPr>
                  </w:pPr>
                  <w:r w:rsidRPr="007710EB">
                    <w:rPr>
                      <w:rFonts w:ascii="宋体" w:eastAsia="宋体" w:hAnsi="宋体" w:cs="宋体"/>
                      <w:b/>
                      <w:bCs/>
                      <w:color w:val="686868"/>
                      <w:kern w:val="0"/>
                      <w:sz w:val="18"/>
                      <w:szCs w:val="18"/>
                    </w:rPr>
                    <w:t>发布机构:</w:t>
                  </w:r>
                  <w:r w:rsidRPr="007710E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710EB" w:rsidRPr="007710EB" w:rsidRDefault="007710EB" w:rsidP="007710EB">
                  <w:pPr>
                    <w:widowControl/>
                    <w:jc w:val="left"/>
                    <w:rPr>
                      <w:rFonts w:ascii="宋体" w:eastAsia="宋体" w:hAnsi="宋体" w:cs="宋体"/>
                      <w:color w:val="686868"/>
                      <w:kern w:val="0"/>
                      <w:sz w:val="18"/>
                      <w:szCs w:val="18"/>
                    </w:rPr>
                  </w:pPr>
                  <w:r w:rsidRPr="007710EB">
                    <w:rPr>
                      <w:rFonts w:ascii="宋体" w:eastAsia="宋体" w:hAnsi="宋体" w:cs="宋体"/>
                      <w:b/>
                      <w:bCs/>
                      <w:color w:val="686868"/>
                      <w:kern w:val="0"/>
                      <w:sz w:val="18"/>
                      <w:szCs w:val="18"/>
                    </w:rPr>
                    <w:t>发文日期:</w:t>
                  </w:r>
                  <w:r w:rsidRPr="007710EB">
                    <w:rPr>
                      <w:rFonts w:ascii="宋体" w:eastAsia="宋体" w:hAnsi="宋体" w:cs="宋体"/>
                      <w:color w:val="686868"/>
                      <w:kern w:val="0"/>
                      <w:sz w:val="18"/>
                      <w:szCs w:val="18"/>
                    </w:rPr>
                    <w:t> 2018年04月03日</w:t>
                  </w:r>
                </w:p>
              </w:tc>
            </w:tr>
          </w:tbl>
          <w:p w:rsidR="007710EB" w:rsidRPr="007710EB" w:rsidRDefault="007710EB" w:rsidP="007710EB">
            <w:pPr>
              <w:widowControl/>
              <w:jc w:val="left"/>
              <w:rPr>
                <w:rFonts w:ascii="宋体" w:eastAsia="宋体" w:hAnsi="宋体" w:cs="宋体"/>
                <w:color w:val="686868"/>
                <w:kern w:val="0"/>
                <w:sz w:val="18"/>
                <w:szCs w:val="18"/>
              </w:rPr>
            </w:pPr>
          </w:p>
        </w:tc>
      </w:tr>
      <w:tr w:rsidR="007710EB" w:rsidRPr="007710EB" w:rsidTr="007710EB">
        <w:trPr>
          <w:tblCellSpacing w:w="0" w:type="dxa"/>
        </w:trPr>
        <w:tc>
          <w:tcPr>
            <w:tcW w:w="0" w:type="auto"/>
            <w:tcMar>
              <w:top w:w="30" w:type="dxa"/>
              <w:left w:w="30" w:type="dxa"/>
              <w:bottom w:w="30" w:type="dxa"/>
              <w:right w:w="30" w:type="dxa"/>
            </w:tcMar>
            <w:hideMark/>
          </w:tcPr>
          <w:p w:rsidR="007710EB" w:rsidRPr="007710EB" w:rsidRDefault="007710EB" w:rsidP="007710EB">
            <w:pPr>
              <w:widowControl/>
              <w:jc w:val="left"/>
              <w:rPr>
                <w:rFonts w:ascii="宋体" w:eastAsia="宋体" w:hAnsi="宋体" w:cs="宋体"/>
                <w:color w:val="686868"/>
                <w:kern w:val="0"/>
                <w:sz w:val="18"/>
                <w:szCs w:val="18"/>
              </w:rPr>
            </w:pPr>
            <w:r w:rsidRPr="007710EB">
              <w:rPr>
                <w:rFonts w:ascii="宋体" w:eastAsia="宋体" w:hAnsi="宋体" w:cs="宋体"/>
                <w:b/>
                <w:bCs/>
                <w:color w:val="686868"/>
                <w:kern w:val="0"/>
                <w:sz w:val="18"/>
                <w:szCs w:val="18"/>
              </w:rPr>
              <w:t>名　　称:</w:t>
            </w:r>
            <w:r w:rsidRPr="007710EB">
              <w:rPr>
                <w:rFonts w:ascii="宋体" w:eastAsia="宋体" w:hAnsi="宋体" w:cs="宋体"/>
                <w:color w:val="686868"/>
                <w:kern w:val="0"/>
                <w:sz w:val="18"/>
                <w:szCs w:val="18"/>
              </w:rPr>
              <w:t> 中国证监会行政处罚决定书（王爱英）</w:t>
            </w:r>
          </w:p>
        </w:tc>
      </w:tr>
      <w:tr w:rsidR="007710EB" w:rsidRPr="007710EB" w:rsidTr="007710EB">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710EB" w:rsidRPr="007710EB">
              <w:trPr>
                <w:tblCellSpacing w:w="0" w:type="dxa"/>
              </w:trPr>
              <w:tc>
                <w:tcPr>
                  <w:tcW w:w="2500" w:type="pct"/>
                  <w:tcMar>
                    <w:top w:w="30" w:type="dxa"/>
                    <w:left w:w="30" w:type="dxa"/>
                    <w:bottom w:w="30" w:type="dxa"/>
                    <w:right w:w="30" w:type="dxa"/>
                  </w:tcMar>
                  <w:hideMark/>
                </w:tcPr>
                <w:p w:rsidR="007710EB" w:rsidRPr="007710EB" w:rsidRDefault="007710EB" w:rsidP="007710EB">
                  <w:pPr>
                    <w:widowControl/>
                    <w:jc w:val="left"/>
                    <w:rPr>
                      <w:rFonts w:ascii="宋体" w:eastAsia="宋体" w:hAnsi="宋体" w:cs="宋体"/>
                      <w:color w:val="686868"/>
                      <w:kern w:val="0"/>
                      <w:sz w:val="18"/>
                      <w:szCs w:val="18"/>
                    </w:rPr>
                  </w:pPr>
                  <w:r w:rsidRPr="007710EB">
                    <w:rPr>
                      <w:rFonts w:ascii="宋体" w:eastAsia="宋体" w:hAnsi="宋体" w:cs="宋体"/>
                      <w:b/>
                      <w:bCs/>
                      <w:color w:val="686868"/>
                      <w:kern w:val="0"/>
                      <w:sz w:val="18"/>
                      <w:szCs w:val="18"/>
                    </w:rPr>
                    <w:t>文　　号:</w:t>
                  </w:r>
                  <w:r w:rsidRPr="007710EB">
                    <w:rPr>
                      <w:rFonts w:ascii="宋体" w:eastAsia="宋体" w:hAnsi="宋体" w:cs="宋体"/>
                      <w:color w:val="686868"/>
                      <w:kern w:val="0"/>
                      <w:sz w:val="18"/>
                      <w:szCs w:val="18"/>
                    </w:rPr>
                    <w:t> </w:t>
                  </w:r>
                  <w:bookmarkStart w:id="0" w:name="_GoBack"/>
                  <w:r w:rsidRPr="007710EB">
                    <w:rPr>
                      <w:rFonts w:ascii="宋体" w:eastAsia="宋体" w:hAnsi="宋体" w:cs="宋体"/>
                      <w:color w:val="686868"/>
                      <w:kern w:val="0"/>
                      <w:sz w:val="18"/>
                      <w:szCs w:val="18"/>
                    </w:rPr>
                    <w:t>〔2018〕21号</w:t>
                  </w:r>
                  <w:bookmarkEnd w:id="0"/>
                </w:p>
              </w:tc>
              <w:tc>
                <w:tcPr>
                  <w:tcW w:w="0" w:type="auto"/>
                  <w:tcMar>
                    <w:top w:w="30" w:type="dxa"/>
                    <w:left w:w="30" w:type="dxa"/>
                    <w:bottom w:w="30" w:type="dxa"/>
                    <w:right w:w="30" w:type="dxa"/>
                  </w:tcMar>
                  <w:hideMark/>
                </w:tcPr>
                <w:p w:rsidR="007710EB" w:rsidRPr="007710EB" w:rsidRDefault="007710EB" w:rsidP="007710EB">
                  <w:pPr>
                    <w:widowControl/>
                    <w:jc w:val="left"/>
                    <w:rPr>
                      <w:rFonts w:ascii="宋体" w:eastAsia="宋体" w:hAnsi="宋体" w:cs="宋体"/>
                      <w:color w:val="686868"/>
                      <w:kern w:val="0"/>
                      <w:sz w:val="18"/>
                      <w:szCs w:val="18"/>
                    </w:rPr>
                  </w:pPr>
                  <w:r w:rsidRPr="007710EB">
                    <w:rPr>
                      <w:rFonts w:ascii="宋体" w:eastAsia="宋体" w:hAnsi="宋体" w:cs="宋体"/>
                      <w:b/>
                      <w:bCs/>
                      <w:color w:val="686868"/>
                      <w:kern w:val="0"/>
                      <w:sz w:val="18"/>
                      <w:szCs w:val="18"/>
                    </w:rPr>
                    <w:t>主 题 词:</w:t>
                  </w:r>
                </w:p>
              </w:tc>
            </w:tr>
          </w:tbl>
          <w:p w:rsidR="007710EB" w:rsidRPr="007710EB" w:rsidRDefault="007710EB" w:rsidP="007710EB">
            <w:pPr>
              <w:widowControl/>
              <w:jc w:val="left"/>
              <w:rPr>
                <w:rFonts w:ascii="宋体" w:eastAsia="宋体" w:hAnsi="宋体" w:cs="宋体"/>
                <w:color w:val="686868"/>
                <w:kern w:val="0"/>
                <w:sz w:val="18"/>
                <w:szCs w:val="18"/>
              </w:rPr>
            </w:pPr>
          </w:p>
        </w:tc>
      </w:tr>
    </w:tbl>
    <w:p w:rsidR="007710EB" w:rsidRPr="007710EB" w:rsidRDefault="007710EB" w:rsidP="007710EB">
      <w:pPr>
        <w:widowControl/>
        <w:jc w:val="center"/>
        <w:rPr>
          <w:rFonts w:ascii="微软雅黑" w:eastAsia="微软雅黑" w:hAnsi="微软雅黑" w:cs="宋体"/>
          <w:color w:val="000000"/>
          <w:kern w:val="0"/>
          <w:sz w:val="18"/>
          <w:szCs w:val="18"/>
        </w:rPr>
      </w:pPr>
      <w:r w:rsidRPr="007710E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710EB" w:rsidRPr="007710EB" w:rsidRDefault="007710EB" w:rsidP="007710EB">
      <w:pPr>
        <w:widowControl/>
        <w:shd w:val="clear" w:color="auto" w:fill="FFFFFF"/>
        <w:spacing w:after="240"/>
        <w:jc w:val="center"/>
        <w:rPr>
          <w:rFonts w:ascii="微软雅黑" w:eastAsia="微软雅黑" w:hAnsi="微软雅黑" w:cs="宋体" w:hint="eastAsia"/>
          <w:color w:val="000000"/>
          <w:kern w:val="0"/>
          <w:sz w:val="18"/>
          <w:szCs w:val="18"/>
        </w:rPr>
      </w:pPr>
      <w:r w:rsidRPr="007710EB">
        <w:rPr>
          <w:rFonts w:ascii="微软雅黑" w:eastAsia="微软雅黑" w:hAnsi="微软雅黑" w:cs="宋体" w:hint="eastAsia"/>
          <w:color w:val="000000"/>
          <w:kern w:val="0"/>
          <w:sz w:val="18"/>
          <w:szCs w:val="18"/>
        </w:rPr>
        <w:br/>
      </w:r>
      <w:r w:rsidRPr="007710EB">
        <w:rPr>
          <w:rFonts w:ascii="黑体" w:eastAsia="黑体" w:hAnsi="黑体" w:cs="宋体" w:hint="eastAsia"/>
          <w:b/>
          <w:bCs/>
          <w:color w:val="FF0000"/>
          <w:kern w:val="0"/>
          <w:sz w:val="36"/>
          <w:szCs w:val="36"/>
        </w:rPr>
        <w:t>中国证监会行政处罚决定书（王爱英）</w:t>
      </w:r>
    </w:p>
    <w:p w:rsidR="007710EB" w:rsidRPr="007710EB" w:rsidRDefault="007710EB" w:rsidP="007710EB">
      <w:pPr>
        <w:widowControl/>
        <w:shd w:val="clear" w:color="auto" w:fill="FFFFFF"/>
        <w:spacing w:line="360" w:lineRule="atLeast"/>
        <w:jc w:val="center"/>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〔2018〕21号</w:t>
      </w:r>
    </w:p>
    <w:p w:rsidR="007710EB" w:rsidRPr="007710EB" w:rsidRDefault="007710EB" w:rsidP="007710EB">
      <w:pPr>
        <w:widowControl/>
        <w:shd w:val="clear" w:color="auto" w:fill="FFFFFF"/>
        <w:spacing w:line="360" w:lineRule="atLeast"/>
        <w:jc w:val="left"/>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 </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当事人：王爱英，女，1974年11月出生，地址：北京市海淀区。</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依据《中华人民共和国证券法》（以下简称《证券法》）的有关规定，我会对王爱英内幕交易行为进行了立案调查、审理，依法向当事人告知了</w:t>
      </w:r>
      <w:proofErr w:type="gramStart"/>
      <w:r w:rsidRPr="007710EB">
        <w:rPr>
          <w:rFonts w:ascii="宋体" w:eastAsia="宋体" w:hAnsi="宋体" w:cs="宋体" w:hint="eastAsia"/>
          <w:color w:val="000000"/>
          <w:kern w:val="0"/>
          <w:szCs w:val="21"/>
        </w:rPr>
        <w:t>作出</w:t>
      </w:r>
      <w:proofErr w:type="gramEnd"/>
      <w:r w:rsidRPr="007710EB">
        <w:rPr>
          <w:rFonts w:ascii="宋体" w:eastAsia="宋体" w:hAnsi="宋体" w:cs="宋体" w:hint="eastAsia"/>
          <w:color w:val="000000"/>
          <w:kern w:val="0"/>
          <w:szCs w:val="21"/>
        </w:rPr>
        <w:t>行政处罚的事实、理由、依据及当事人依法享有的权利。当事人提交了书面陈述申辩材料。应当事人的申请，我会举行了听证会，听取了当事人及其代理人的陈述申辩意见。本案现已调查、审理终结。</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经查明，王爱英存在以下违法事实：</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一、内幕信息形成及公开过程</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2015年3月初，</w:t>
      </w:r>
      <w:proofErr w:type="gramStart"/>
      <w:r w:rsidRPr="007710EB">
        <w:rPr>
          <w:rFonts w:ascii="宋体" w:eastAsia="宋体" w:hAnsi="宋体" w:cs="宋体" w:hint="eastAsia"/>
          <w:color w:val="000000"/>
          <w:kern w:val="0"/>
          <w:szCs w:val="21"/>
        </w:rPr>
        <w:t>瀚丰资本</w:t>
      </w:r>
      <w:proofErr w:type="gramEnd"/>
      <w:r w:rsidRPr="007710EB">
        <w:rPr>
          <w:rFonts w:ascii="宋体" w:eastAsia="宋体" w:hAnsi="宋体" w:cs="宋体" w:hint="eastAsia"/>
          <w:color w:val="000000"/>
          <w:kern w:val="0"/>
          <w:szCs w:val="21"/>
        </w:rPr>
        <w:t>管理有限公司（以下简称</w:t>
      </w:r>
      <w:proofErr w:type="gramStart"/>
      <w:r w:rsidRPr="007710EB">
        <w:rPr>
          <w:rFonts w:ascii="宋体" w:eastAsia="宋体" w:hAnsi="宋体" w:cs="宋体" w:hint="eastAsia"/>
          <w:color w:val="000000"/>
          <w:kern w:val="0"/>
          <w:szCs w:val="21"/>
        </w:rPr>
        <w:t>瀚</w:t>
      </w:r>
      <w:proofErr w:type="gramEnd"/>
      <w:r w:rsidRPr="007710EB">
        <w:rPr>
          <w:rFonts w:ascii="宋体" w:eastAsia="宋体" w:hAnsi="宋体" w:cs="宋体" w:hint="eastAsia"/>
          <w:color w:val="000000"/>
          <w:kern w:val="0"/>
          <w:szCs w:val="21"/>
        </w:rPr>
        <w:t>丰资本）法定代表</w:t>
      </w:r>
      <w:proofErr w:type="gramStart"/>
      <w:r w:rsidRPr="007710EB">
        <w:rPr>
          <w:rFonts w:ascii="宋体" w:eastAsia="宋体" w:hAnsi="宋体" w:cs="宋体" w:hint="eastAsia"/>
          <w:color w:val="000000"/>
          <w:kern w:val="0"/>
          <w:szCs w:val="21"/>
        </w:rPr>
        <w:t>人武某</w:t>
      </w:r>
      <w:proofErr w:type="gramEnd"/>
      <w:r w:rsidRPr="007710EB">
        <w:rPr>
          <w:rFonts w:ascii="宋体" w:eastAsia="宋体" w:hAnsi="宋体" w:cs="宋体" w:hint="eastAsia"/>
          <w:color w:val="000000"/>
          <w:kern w:val="0"/>
          <w:szCs w:val="21"/>
        </w:rPr>
        <w:t>祥和中泰证券股份有限公司（以下简称中泰证券）并购部执行总经理孙某华探讨威海怡和专用设备制造股份有限公司（以下简称威海怡和）及赤峰吉隆黄金矿业股份有限公司（以下简称赤峰黄金）董事长赵某光持有的其他资产未来可能的资本运作方式。</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2015年4月，赵某光安排武某祥前往威海怡和考察，考察后武某祥就威海怡和资本运作事宜向赵某光进行了汇报。</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2015年6月9日，</w:t>
      </w:r>
      <w:proofErr w:type="gramStart"/>
      <w:r w:rsidRPr="007710EB">
        <w:rPr>
          <w:rFonts w:ascii="宋体" w:eastAsia="宋体" w:hAnsi="宋体" w:cs="宋体" w:hint="eastAsia"/>
          <w:color w:val="000000"/>
          <w:kern w:val="0"/>
          <w:szCs w:val="21"/>
        </w:rPr>
        <w:t>王某胜将</w:t>
      </w:r>
      <w:proofErr w:type="gramEnd"/>
      <w:r w:rsidRPr="007710EB">
        <w:rPr>
          <w:rFonts w:ascii="宋体" w:eastAsia="宋体" w:hAnsi="宋体" w:cs="宋体" w:hint="eastAsia"/>
          <w:color w:val="000000"/>
          <w:kern w:val="0"/>
          <w:szCs w:val="21"/>
        </w:rPr>
        <w:t>其持有的威海怡和9.29%的股权</w:t>
      </w:r>
      <w:proofErr w:type="gramStart"/>
      <w:r w:rsidRPr="007710EB">
        <w:rPr>
          <w:rFonts w:ascii="宋体" w:eastAsia="宋体" w:hAnsi="宋体" w:cs="宋体" w:hint="eastAsia"/>
          <w:color w:val="000000"/>
          <w:kern w:val="0"/>
          <w:szCs w:val="21"/>
        </w:rPr>
        <w:t>转让予任某国</w:t>
      </w:r>
      <w:proofErr w:type="gramEnd"/>
      <w:r w:rsidRPr="007710EB">
        <w:rPr>
          <w:rFonts w:ascii="宋体" w:eastAsia="宋体" w:hAnsi="宋体" w:cs="宋体" w:hint="eastAsia"/>
          <w:color w:val="000000"/>
          <w:kern w:val="0"/>
          <w:szCs w:val="21"/>
        </w:rPr>
        <w:t>（赤峰黄金员工）。本次转让后，威海怡和的股权结构如下：王</w:t>
      </w:r>
      <w:proofErr w:type="gramStart"/>
      <w:r w:rsidRPr="007710EB">
        <w:rPr>
          <w:rFonts w:ascii="宋体" w:eastAsia="宋体" w:hAnsi="宋体" w:cs="宋体" w:hint="eastAsia"/>
          <w:color w:val="000000"/>
          <w:kern w:val="0"/>
          <w:szCs w:val="21"/>
        </w:rPr>
        <w:t>某胜持股</w:t>
      </w:r>
      <w:proofErr w:type="gramEnd"/>
      <w:r w:rsidRPr="007710EB">
        <w:rPr>
          <w:rFonts w:ascii="宋体" w:eastAsia="宋体" w:hAnsi="宋体" w:cs="宋体" w:hint="eastAsia"/>
          <w:color w:val="000000"/>
          <w:kern w:val="0"/>
          <w:szCs w:val="21"/>
        </w:rPr>
        <w:t>比例为34%，罗某顺持股比例为17%，</w:t>
      </w:r>
      <w:proofErr w:type="gramStart"/>
      <w:r w:rsidRPr="007710EB">
        <w:rPr>
          <w:rFonts w:ascii="宋体" w:eastAsia="宋体" w:hAnsi="宋体" w:cs="宋体" w:hint="eastAsia"/>
          <w:color w:val="000000"/>
          <w:kern w:val="0"/>
          <w:szCs w:val="21"/>
        </w:rPr>
        <w:t>王某武持股</w:t>
      </w:r>
      <w:proofErr w:type="gramEnd"/>
      <w:r w:rsidRPr="007710EB">
        <w:rPr>
          <w:rFonts w:ascii="宋体" w:eastAsia="宋体" w:hAnsi="宋体" w:cs="宋体" w:hint="eastAsia"/>
          <w:color w:val="000000"/>
          <w:kern w:val="0"/>
          <w:szCs w:val="21"/>
        </w:rPr>
        <w:t>比例为16%，</w:t>
      </w:r>
      <w:proofErr w:type="gramStart"/>
      <w:r w:rsidRPr="007710EB">
        <w:rPr>
          <w:rFonts w:ascii="宋体" w:eastAsia="宋体" w:hAnsi="宋体" w:cs="宋体" w:hint="eastAsia"/>
          <w:color w:val="000000"/>
          <w:kern w:val="0"/>
          <w:szCs w:val="21"/>
        </w:rPr>
        <w:t>仲某霞</w:t>
      </w:r>
      <w:proofErr w:type="gramEnd"/>
      <w:r w:rsidRPr="007710EB">
        <w:rPr>
          <w:rFonts w:ascii="宋体" w:eastAsia="宋体" w:hAnsi="宋体" w:cs="宋体" w:hint="eastAsia"/>
          <w:color w:val="000000"/>
          <w:kern w:val="0"/>
          <w:szCs w:val="21"/>
        </w:rPr>
        <w:t>持股比例为13%，赵某光持股比例为10.71%、任某国持股比例为9.29%。</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2015年6月10日，武某祥与孙某华会面，商议赵某光所持赤峰黄金、威海怡和等股权资产的整合事宜。</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2015年6月22日，赵某光安排赤峰黄金董事会秘书周某兵前往威海与王某胜商谈赵某光受让王某胜所持20%威海怡和股权事宜，确定王某胜将其持有的威海怡和15.9%的股权转让给赵某光。</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lastRenderedPageBreak/>
        <w:t>2015年6月27日，武某祥和赵某光讨论威海怡和资本运作的一系列问题。6月28日至30日，武某祥和孙某华探讨发布威海怡和寻求被上市公司并购的信息，武某祥向赵某光汇报威海怡和通过被收购方式上市应关注的主要问题。</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2015年6月30日，赵某光和武某祥商议威海怡和资本运作的三种方案，第一是将威海怡和装入赤峰黄金，第二是将威海怡和装入其他上市公司，第三是威海怡和单独首次公开发行股票并上市（以下简称IPO）。</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2015年7月1日，赵某光安排赤峰黄金财务总监赵某到威海怡和考察。</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2015年7月4日，赵某光、武某祥、孙某华商议确定了威海怡和运作上市三种方式同步并行推动的原则，武某祥、孙某华倾向于通过IPO或上交所战略新兴</w:t>
      </w:r>
      <w:proofErr w:type="gramStart"/>
      <w:r w:rsidRPr="007710EB">
        <w:rPr>
          <w:rFonts w:ascii="宋体" w:eastAsia="宋体" w:hAnsi="宋体" w:cs="宋体" w:hint="eastAsia"/>
          <w:color w:val="000000"/>
          <w:kern w:val="0"/>
          <w:szCs w:val="21"/>
        </w:rPr>
        <w:t>板方式</w:t>
      </w:r>
      <w:proofErr w:type="gramEnd"/>
      <w:r w:rsidRPr="007710EB">
        <w:rPr>
          <w:rFonts w:ascii="宋体" w:eastAsia="宋体" w:hAnsi="宋体" w:cs="宋体" w:hint="eastAsia"/>
          <w:color w:val="000000"/>
          <w:kern w:val="0"/>
          <w:szCs w:val="21"/>
        </w:rPr>
        <w:t>上市，赵某光倾向于赤峰黄金收购威海怡和。</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2015年7月4日至9日，孙某华根据赵某光的要求，组织业务团队起草制定了《赤峰吉隆黄金矿业股份有限公司资产收购方案建议》，7月9日，孙某华将该文件发送给武某祥，武某祥随后将方案提交给赵某光。</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2015年7月18日，武某祥、中泰证券的孙某华、刘某、吴某等人到威海怡和尽职调查。</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2015年7月18日至8月25日，武某祥、邱某（威海怡和董事长）配合孙某华团队准备尽职调查材料，</w:t>
      </w:r>
      <w:proofErr w:type="gramStart"/>
      <w:r w:rsidRPr="007710EB">
        <w:rPr>
          <w:rFonts w:ascii="宋体" w:eastAsia="宋体" w:hAnsi="宋体" w:cs="宋体" w:hint="eastAsia"/>
          <w:color w:val="000000"/>
          <w:kern w:val="0"/>
          <w:szCs w:val="21"/>
        </w:rPr>
        <w:t>寻找募投项目</w:t>
      </w:r>
      <w:proofErr w:type="gramEnd"/>
      <w:r w:rsidRPr="007710EB">
        <w:rPr>
          <w:rFonts w:ascii="宋体" w:eastAsia="宋体" w:hAnsi="宋体" w:cs="宋体" w:hint="eastAsia"/>
          <w:color w:val="000000"/>
          <w:kern w:val="0"/>
          <w:szCs w:val="21"/>
        </w:rPr>
        <w:t>，孙某华积极推动威海怡和登陆战略新兴板。</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2015年8月25日，孙某华赴上海证券交易所沟通战略新兴</w:t>
      </w:r>
      <w:proofErr w:type="gramStart"/>
      <w:r w:rsidRPr="007710EB">
        <w:rPr>
          <w:rFonts w:ascii="宋体" w:eastAsia="宋体" w:hAnsi="宋体" w:cs="宋体" w:hint="eastAsia"/>
          <w:color w:val="000000"/>
          <w:kern w:val="0"/>
          <w:szCs w:val="21"/>
        </w:rPr>
        <w:t>板相关</w:t>
      </w:r>
      <w:proofErr w:type="gramEnd"/>
      <w:r w:rsidRPr="007710EB">
        <w:rPr>
          <w:rFonts w:ascii="宋体" w:eastAsia="宋体" w:hAnsi="宋体" w:cs="宋体" w:hint="eastAsia"/>
          <w:color w:val="000000"/>
          <w:kern w:val="0"/>
          <w:szCs w:val="21"/>
        </w:rPr>
        <w:t>政策后，告知武某祥威海怡和不符合战略新兴板的要求。</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2015年8月26日，孙某华同武某祥沟通后得知赤峰黄金可能收购威海怡和的事项，安排刘</w:t>
      </w:r>
      <w:proofErr w:type="gramStart"/>
      <w:r w:rsidRPr="007710EB">
        <w:rPr>
          <w:rFonts w:ascii="宋体" w:eastAsia="宋体" w:hAnsi="宋体" w:cs="宋体" w:hint="eastAsia"/>
          <w:color w:val="000000"/>
          <w:kern w:val="0"/>
          <w:szCs w:val="21"/>
        </w:rPr>
        <w:t>某做好</w:t>
      </w:r>
      <w:proofErr w:type="gramEnd"/>
      <w:r w:rsidRPr="007710EB">
        <w:rPr>
          <w:rFonts w:ascii="宋体" w:eastAsia="宋体" w:hAnsi="宋体" w:cs="宋体" w:hint="eastAsia"/>
          <w:color w:val="000000"/>
          <w:kern w:val="0"/>
          <w:szCs w:val="21"/>
        </w:rPr>
        <w:t>赤峰黄金收购威海怡和100%股权的准备。</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2015年8月27日至8月28日，孙某华团队正式启动赤峰黄金收购威海怡和股权项目。</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2015年8月28日下午开市时，赤峰黄金临时停牌。</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2015年8月29日，赤峰黄金召开临时董事会讨论以现金方式收购威海怡和股权，并公告称因筹划与收购资产相关的重大事项，公司股票自2015年8月31日起停牌。</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2015年8月31日，赵某、周某兵同中泰证券樊某东、孙某华、刘某等开会讨论赤峰黄金收购威海怡和的具体事宜。</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2015年10月15日至12月15日，赤峰黄金收购威海怡和项目其他中介机构进场工作，赤峰黄金继续停牌，定期发布重大资产重组进展公告。</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12月15日，赤峰黄金公告《重大资产购买暨关联交易报告书（草案）》等相关文件，公司拟以8.1亿元现金方式购买威海怡和100%的股权。根据上市公司2014年年度审计报告、标的公司2014年年度审计报告及交易金额，截至2014年12月31日，赤峰黄金资产总额149,188.74万元，威海怡和资产总额81,000万元，威海怡和的资产总额占赤峰黄金资产总额的比例达到54.29%。</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2015年12月15日赤峰黄金公告的赤峰黄金向王某胜等人支付现金购买其持有的威海怡和100%股权事项，因威海怡和的资产总额占赤峰黄金2014年经审计的合并财务会计报告期末资产总额的比例达到50%以上，符合《上市公司重大资产重组管理办法》第十一条规定的重大资产重组，属于《证券法》第六十七条第二款第（二）项规定的公司重大的购置财产的决定，构成《证券法》第七十五条第二款第（一）项规定的内幕信息。内幕信息形成不晚</w:t>
      </w:r>
      <w:r w:rsidRPr="007710EB">
        <w:rPr>
          <w:rFonts w:ascii="宋体" w:eastAsia="宋体" w:hAnsi="宋体" w:cs="宋体" w:hint="eastAsia"/>
          <w:color w:val="000000"/>
          <w:kern w:val="0"/>
          <w:szCs w:val="21"/>
        </w:rPr>
        <w:lastRenderedPageBreak/>
        <w:t>于2015年6月30日，公开于2015年12月15日。赵某系赤峰黄金董事、财务总监，属于《证券法》第七十四条规定的法定内幕信息知情人。</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二、王爱英内幕交易“赤峰黄金”的事实</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（一）“王爱英”证券账户开立情况</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“王爱英”普通证券账户，2012年11月14日开立于湘财证券北京北四环东路营业部，2014年9月22日开立信用账户。</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（二）王爱英控制使用“王爱英”证券账户</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1. 王爱英称“账户开立后至今一直是我在使用，没有将账户交给别人使用过”。</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2. 王爱英配偶询问笔录称“她（指王爱英）的证券账户由她自己负责操作”。</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3. 账户资金来源于赵某，系夫妻共同财产。</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（三）王爱英与内幕信息知情人的关系</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王爱英与赵某系夫妻关系。</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（四）王爱英交易“赤峰黄金”的情况</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王爱英控制使用本人证券账户，于2015年7月15日买入“赤峰黄金”成交51,075股，成交金额667,550.25元；7月27日买入成交35,800股，成交金额500,478.00元。截至2016年2月底，该账户所持“赤峰黄金”尚未卖出，盈利48,221.75元。</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内幕信息敏感期内，王爱英将该账户原先持有的股票全部卖出，清仓后买入“赤峰黄金”，买入意愿十分强烈，交易行为明显异常。</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以上事实有，赤峰黄金公告、赤峰黄金提供的相关材料、相关人员询问笔录、当事人交易记录、通话记录等证据证明，足以认定。</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王爱英与内幕信息知情人赵某系夫妻关系，内幕信息公开前，王爱英将其本人账户清仓后单一买入“赤峰黄金”，买入意愿强烈，交易行为明显异常，其行为违反了《证券法》第七十三条、第七十六条第一款的规定，构成《证券法》第二百零二条所述内幕交易行为。</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当事人提出如下陈述申辩意见：1.内幕信息形成时间应为2015年8月29日。2.买入“赤峰黄金”是响应证监会救市号召和赤峰黄金的公告。3.当事人买入“赤峰黄金”前，赵某并不知悉内幕信息，不存在从赵某处获取内幕信息。4.买入“赤峰黄金”交易行为</w:t>
      </w:r>
      <w:proofErr w:type="gramStart"/>
      <w:r w:rsidRPr="007710EB">
        <w:rPr>
          <w:rFonts w:ascii="宋体" w:eastAsia="宋体" w:hAnsi="宋体" w:cs="宋体" w:hint="eastAsia"/>
          <w:color w:val="000000"/>
          <w:kern w:val="0"/>
          <w:szCs w:val="21"/>
        </w:rPr>
        <w:t>不</w:t>
      </w:r>
      <w:proofErr w:type="gramEnd"/>
      <w:r w:rsidRPr="007710EB">
        <w:rPr>
          <w:rFonts w:ascii="宋体" w:eastAsia="宋体" w:hAnsi="宋体" w:cs="宋体" w:hint="eastAsia"/>
          <w:color w:val="000000"/>
          <w:kern w:val="0"/>
          <w:szCs w:val="21"/>
        </w:rPr>
        <w:t>异常。一是从历史交易情况看，并非首次单一买入某只股票。二是因股市风险逐步加大，2014年底开始至2015年7月陆续从股市撤出资金转入银行账户。三是在自己能承受的风险范围内，使用的是投资盈利买入“赤峰黄金”。四是基于对国家救市政策的信心以及自己对黄金价格走势和赤峰黄金投资价值的判断，买入“赤峰黄金”。五是，信用账户降杠杆和清仓表明了一个普通投资者在股市异常波动时的风险意识和专业水平，普通账户买入“赤峰黄金”是对证监会救市政策号召的响应。5.请求免于行政处罚。</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经复核，我会认为，第一，</w:t>
      </w:r>
      <w:proofErr w:type="gramStart"/>
      <w:r w:rsidRPr="007710EB">
        <w:rPr>
          <w:rFonts w:ascii="宋体" w:eastAsia="宋体" w:hAnsi="宋体" w:cs="宋体" w:hint="eastAsia"/>
          <w:color w:val="000000"/>
          <w:kern w:val="0"/>
          <w:szCs w:val="21"/>
        </w:rPr>
        <w:t>赵某光为</w:t>
      </w:r>
      <w:proofErr w:type="gramEnd"/>
      <w:r w:rsidRPr="007710EB">
        <w:rPr>
          <w:rFonts w:ascii="宋体" w:eastAsia="宋体" w:hAnsi="宋体" w:cs="宋体" w:hint="eastAsia"/>
          <w:color w:val="000000"/>
          <w:kern w:val="0"/>
          <w:szCs w:val="21"/>
        </w:rPr>
        <w:t>赤峰黄金的实际控制人，自2015年6月起，</w:t>
      </w:r>
      <w:proofErr w:type="gramStart"/>
      <w:r w:rsidRPr="007710EB">
        <w:rPr>
          <w:rFonts w:ascii="宋体" w:eastAsia="宋体" w:hAnsi="宋体" w:cs="宋体" w:hint="eastAsia"/>
          <w:color w:val="000000"/>
          <w:kern w:val="0"/>
          <w:szCs w:val="21"/>
        </w:rPr>
        <w:t>赵某光成为</w:t>
      </w:r>
      <w:proofErr w:type="gramEnd"/>
      <w:r w:rsidRPr="007710EB">
        <w:rPr>
          <w:rFonts w:ascii="宋体" w:eastAsia="宋体" w:hAnsi="宋体" w:cs="宋体" w:hint="eastAsia"/>
          <w:color w:val="000000"/>
          <w:kern w:val="0"/>
          <w:szCs w:val="21"/>
        </w:rPr>
        <w:t>威海怡和的实际控制人，为两家公司的重要决策人员。2015年6月30日，赵某光和武某祥商议了拟将威海怡和装入赤峰黄金的运作模式等，结合赵某光实际控制人的身份，该事项为影响内幕信息形成的动议，应认定此时为内幕信息的形成之时。第二，我会《关于上市公司大股东及董事、监事、高级管理人员增持本公司股票相关事项的通知》（以下简称《通知》）中，鼓励增持的对象为上市公司的控股股东、持股5%以上的股东及董事、监事、高级</w:t>
      </w:r>
      <w:r w:rsidRPr="007710EB">
        <w:rPr>
          <w:rFonts w:ascii="宋体" w:eastAsia="宋体" w:hAnsi="宋体" w:cs="宋体" w:hint="eastAsia"/>
          <w:color w:val="000000"/>
          <w:kern w:val="0"/>
          <w:szCs w:val="21"/>
        </w:rPr>
        <w:lastRenderedPageBreak/>
        <w:t>管理人员。当事人不符合《通知》中对增</w:t>
      </w:r>
      <w:proofErr w:type="gramStart"/>
      <w:r w:rsidRPr="007710EB">
        <w:rPr>
          <w:rFonts w:ascii="宋体" w:eastAsia="宋体" w:hAnsi="宋体" w:cs="宋体" w:hint="eastAsia"/>
          <w:color w:val="000000"/>
          <w:kern w:val="0"/>
          <w:szCs w:val="21"/>
        </w:rPr>
        <w:t>持人员</w:t>
      </w:r>
      <w:proofErr w:type="gramEnd"/>
      <w:r w:rsidRPr="007710EB">
        <w:rPr>
          <w:rFonts w:ascii="宋体" w:eastAsia="宋体" w:hAnsi="宋体" w:cs="宋体" w:hint="eastAsia"/>
          <w:color w:val="000000"/>
          <w:kern w:val="0"/>
          <w:szCs w:val="21"/>
        </w:rPr>
        <w:t>身份的要求，不具有可豁免身份。同时，当事人称自己作为散户投资者能够盈利的理由</w:t>
      </w:r>
      <w:proofErr w:type="gramStart"/>
      <w:r w:rsidRPr="007710EB">
        <w:rPr>
          <w:rFonts w:ascii="宋体" w:eastAsia="宋体" w:hAnsi="宋体" w:cs="宋体" w:hint="eastAsia"/>
          <w:color w:val="000000"/>
          <w:kern w:val="0"/>
          <w:szCs w:val="21"/>
        </w:rPr>
        <w:t>系一直</w:t>
      </w:r>
      <w:proofErr w:type="gramEnd"/>
      <w:r w:rsidRPr="007710EB">
        <w:rPr>
          <w:rFonts w:ascii="宋体" w:eastAsia="宋体" w:hAnsi="宋体" w:cs="宋体" w:hint="eastAsia"/>
          <w:color w:val="000000"/>
          <w:kern w:val="0"/>
          <w:szCs w:val="21"/>
        </w:rPr>
        <w:t>响应国家号召，说明当事人对国家发布的各项政策具备较强的分析和解读能力，故当事人看到《通知》后，应能知晓自己不符合增持人身份要求。如果当事人真以救市为目的，完全可以根据《通知》的要求，依法由赵某进行增持。因此对其救市的说法不予采信。第三，赵某系赤峰黄金财务总监、董事，为法定内幕信息知情人，2015年7月1日根据董事长赵某光的安排，其前往威海怡和进行调研，期间威海怡和财务总监罗某顺询问其“赤峰黄金有没有可能收购威海怡和”，赵某作为赤峰黄金财务总监，结合其工作职责、调研安排及罗某顺的询问，其应当知悉了赵某光正在研究推进赤峰黄金收购威海怡和事宜。至于赵某申辩认为赤峰黄金没有可能收购威海怡和的判断，不能</w:t>
      </w:r>
      <w:proofErr w:type="gramStart"/>
      <w:r w:rsidRPr="007710EB">
        <w:rPr>
          <w:rFonts w:ascii="宋体" w:eastAsia="宋体" w:hAnsi="宋体" w:cs="宋体" w:hint="eastAsia"/>
          <w:color w:val="000000"/>
          <w:kern w:val="0"/>
          <w:szCs w:val="21"/>
        </w:rPr>
        <w:t>阻却其</w:t>
      </w:r>
      <w:proofErr w:type="gramEnd"/>
      <w:r w:rsidRPr="007710EB">
        <w:rPr>
          <w:rFonts w:ascii="宋体" w:eastAsia="宋体" w:hAnsi="宋体" w:cs="宋体" w:hint="eastAsia"/>
          <w:color w:val="000000"/>
          <w:kern w:val="0"/>
          <w:szCs w:val="21"/>
        </w:rPr>
        <w:t>知晓董事长的收购意图。第四，当事人称基于黄金价格走势和股票走势的判断，认为在股票市场下跌时期，黄金具有很好的保值增值作用，黄金类股票有更好的抗风险能力，故买入“赤峰黄金”。而2015年7月10日，当事人却卖出了持有的“中国黄金”12,100股，其交易行为与其说法明显矛盾。股市异常波动期间，清仓、单一买入更说明当事人获取并利用了内幕信息。第五，当事人不具有《行政处罚法》从轻、减轻或免于处罚的情形，结合当事人违法的事实、性质、情节和社会危害程度，我会对当事人处以违法所得三倍罚款，过罚相当。</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根据当事人违法行为的事实、性质、情节与社会危害程度，依据《证券法》第二百零二条的规定，我会决定：责令王爱</w:t>
      </w:r>
      <w:proofErr w:type="gramStart"/>
      <w:r w:rsidRPr="007710EB">
        <w:rPr>
          <w:rFonts w:ascii="宋体" w:eastAsia="宋体" w:hAnsi="宋体" w:cs="宋体" w:hint="eastAsia"/>
          <w:color w:val="000000"/>
          <w:kern w:val="0"/>
          <w:szCs w:val="21"/>
        </w:rPr>
        <w:t>英依法</w:t>
      </w:r>
      <w:proofErr w:type="gramEnd"/>
      <w:r w:rsidRPr="007710EB">
        <w:rPr>
          <w:rFonts w:ascii="宋体" w:eastAsia="宋体" w:hAnsi="宋体" w:cs="宋体" w:hint="eastAsia"/>
          <w:color w:val="000000"/>
          <w:kern w:val="0"/>
          <w:szCs w:val="21"/>
        </w:rPr>
        <w:t>处理非法持有的股票，没收王爱英违法所得48,221.75元，并处以144,665.25元的罚款。</w:t>
      </w:r>
    </w:p>
    <w:p w:rsidR="007710EB" w:rsidRPr="007710EB" w:rsidRDefault="007710EB" w:rsidP="007710EB">
      <w:pPr>
        <w:widowControl/>
        <w:shd w:val="clear" w:color="auto" w:fill="FFFFFF"/>
        <w:spacing w:line="360" w:lineRule="atLeast"/>
        <w:ind w:firstLine="420"/>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上述当事人应自收到本处罚决定书之日起15日内，将罚款汇交中国证券监督管理委员会（财政</w:t>
      </w:r>
      <w:proofErr w:type="gramStart"/>
      <w:r w:rsidRPr="007710EB">
        <w:rPr>
          <w:rFonts w:ascii="宋体" w:eastAsia="宋体" w:hAnsi="宋体" w:cs="宋体" w:hint="eastAsia"/>
          <w:color w:val="000000"/>
          <w:kern w:val="0"/>
          <w:szCs w:val="21"/>
        </w:rPr>
        <w:t>汇缴专户</w:t>
      </w:r>
      <w:proofErr w:type="gramEnd"/>
      <w:r w:rsidRPr="007710EB">
        <w:rPr>
          <w:rFonts w:ascii="宋体" w:eastAsia="宋体" w:hAnsi="宋体" w:cs="宋体" w:hint="eastAsia"/>
          <w:color w:val="000000"/>
          <w:kern w:val="0"/>
          <w:szCs w:val="21"/>
        </w:rPr>
        <w:t>），开户银行：中信银行总行营业部，账号：7111010189800000162，由该行直接上缴国库，当事人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7710EB" w:rsidRPr="007710EB" w:rsidRDefault="007710EB" w:rsidP="007710EB">
      <w:pPr>
        <w:widowControl/>
        <w:shd w:val="clear" w:color="auto" w:fill="FFFFFF"/>
        <w:spacing w:line="360" w:lineRule="atLeast"/>
        <w:jc w:val="left"/>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 </w:t>
      </w:r>
    </w:p>
    <w:p w:rsidR="007710EB" w:rsidRPr="007710EB" w:rsidRDefault="007710EB" w:rsidP="007710EB">
      <w:pPr>
        <w:widowControl/>
        <w:shd w:val="clear" w:color="auto" w:fill="FFFFFF"/>
        <w:spacing w:line="360" w:lineRule="atLeast"/>
        <w:jc w:val="left"/>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 </w:t>
      </w:r>
    </w:p>
    <w:p w:rsidR="007710EB" w:rsidRPr="007710EB" w:rsidRDefault="007710EB" w:rsidP="007710EB">
      <w:pPr>
        <w:widowControl/>
        <w:shd w:val="clear" w:color="auto" w:fill="FFFFFF"/>
        <w:spacing w:line="360" w:lineRule="atLeast"/>
        <w:jc w:val="left"/>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 </w:t>
      </w:r>
    </w:p>
    <w:p w:rsidR="007710EB" w:rsidRPr="007710EB" w:rsidRDefault="007710EB" w:rsidP="007710EB">
      <w:pPr>
        <w:widowControl/>
        <w:shd w:val="clear" w:color="auto" w:fill="FFFFFF"/>
        <w:spacing w:line="360" w:lineRule="atLeast"/>
        <w:jc w:val="left"/>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 </w:t>
      </w:r>
    </w:p>
    <w:p w:rsidR="007710EB" w:rsidRPr="007710EB" w:rsidRDefault="007710EB" w:rsidP="007710E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中国证监会</w:t>
      </w:r>
      <w:proofErr w:type="gramStart"/>
      <w:r w:rsidRPr="007710EB">
        <w:rPr>
          <w:rFonts w:ascii="宋体" w:eastAsia="宋体" w:hAnsi="宋体" w:cs="宋体" w:hint="eastAsia"/>
          <w:color w:val="000000"/>
          <w:kern w:val="0"/>
          <w:szCs w:val="21"/>
        </w:rPr>
        <w:t xml:space="preserve">　　　　　</w:t>
      </w:r>
      <w:proofErr w:type="gramEnd"/>
      <w:r w:rsidRPr="007710EB">
        <w:rPr>
          <w:rFonts w:ascii="宋体" w:eastAsia="宋体" w:hAnsi="宋体" w:cs="宋体" w:hint="eastAsia"/>
          <w:color w:val="000000"/>
          <w:kern w:val="0"/>
          <w:szCs w:val="21"/>
        </w:rPr>
        <w:t> </w:t>
      </w:r>
    </w:p>
    <w:p w:rsidR="007710EB" w:rsidRPr="007710EB" w:rsidRDefault="007710EB" w:rsidP="007710E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710EB">
        <w:rPr>
          <w:rFonts w:ascii="宋体" w:eastAsia="宋体" w:hAnsi="宋体" w:cs="宋体" w:hint="eastAsia"/>
          <w:color w:val="000000"/>
          <w:kern w:val="0"/>
          <w:szCs w:val="21"/>
        </w:rPr>
        <w:t xml:space="preserve">2018年4月3日　　</w:t>
      </w:r>
      <w:proofErr w:type="gramStart"/>
      <w:r w:rsidRPr="007710EB">
        <w:rPr>
          <w:rFonts w:ascii="宋体" w:eastAsia="宋体" w:hAnsi="宋体" w:cs="宋体" w:hint="eastAsia"/>
          <w:color w:val="000000"/>
          <w:kern w:val="0"/>
          <w:szCs w:val="21"/>
        </w:rPr>
        <w:t xml:space="preserve">　　</w:t>
      </w:r>
      <w:proofErr w:type="gramEnd"/>
    </w:p>
    <w:p w:rsidR="007710EB" w:rsidRPr="007710EB" w:rsidRDefault="007710EB" w:rsidP="007710E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710EB" w:rsidRPr="007710EB" w:rsidTr="007710EB">
        <w:trPr>
          <w:tblCellSpacing w:w="15" w:type="dxa"/>
          <w:jc w:val="center"/>
        </w:trPr>
        <w:tc>
          <w:tcPr>
            <w:tcW w:w="900" w:type="dxa"/>
            <w:vAlign w:val="center"/>
            <w:hideMark/>
          </w:tcPr>
          <w:p w:rsidR="007710EB" w:rsidRPr="007710EB" w:rsidRDefault="007710EB" w:rsidP="007710EB">
            <w:pPr>
              <w:widowControl/>
              <w:jc w:val="left"/>
              <w:rPr>
                <w:rFonts w:ascii="宋体" w:eastAsia="宋体" w:hAnsi="宋体" w:cs="宋体" w:hint="eastAsia"/>
                <w:kern w:val="0"/>
                <w:sz w:val="18"/>
                <w:szCs w:val="18"/>
              </w:rPr>
            </w:pPr>
            <w:r w:rsidRPr="007710EB">
              <w:rPr>
                <w:rFonts w:ascii="宋体" w:eastAsia="宋体" w:hAnsi="宋体" w:cs="宋体"/>
                <w:kern w:val="0"/>
                <w:sz w:val="18"/>
                <w:szCs w:val="18"/>
              </w:rPr>
              <w:t> </w:t>
            </w:r>
          </w:p>
        </w:tc>
        <w:tc>
          <w:tcPr>
            <w:tcW w:w="1200" w:type="dxa"/>
            <w:vAlign w:val="center"/>
            <w:hideMark/>
          </w:tcPr>
          <w:p w:rsidR="007710EB" w:rsidRPr="007710EB" w:rsidRDefault="007710EB" w:rsidP="007710EB">
            <w:pPr>
              <w:widowControl/>
              <w:jc w:val="left"/>
              <w:rPr>
                <w:rFonts w:ascii="宋体" w:eastAsia="宋体" w:hAnsi="宋体" w:cs="宋体"/>
                <w:kern w:val="0"/>
                <w:sz w:val="18"/>
                <w:szCs w:val="18"/>
              </w:rPr>
            </w:pPr>
            <w:r w:rsidRPr="007710E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710EB" w:rsidRPr="007710EB" w:rsidRDefault="007710EB" w:rsidP="007710EB">
            <w:pPr>
              <w:widowControl/>
              <w:jc w:val="left"/>
              <w:rPr>
                <w:rFonts w:ascii="宋体" w:eastAsia="宋体" w:hAnsi="宋体" w:cs="宋体"/>
                <w:kern w:val="0"/>
                <w:sz w:val="18"/>
                <w:szCs w:val="18"/>
              </w:rPr>
            </w:pPr>
            <w:r w:rsidRPr="007710E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710EB" w:rsidRPr="007710EB" w:rsidRDefault="007710EB" w:rsidP="007710EB">
            <w:pPr>
              <w:widowControl/>
              <w:jc w:val="left"/>
              <w:rPr>
                <w:rFonts w:ascii="宋体" w:eastAsia="宋体" w:hAnsi="宋体" w:cs="宋体"/>
                <w:kern w:val="0"/>
                <w:sz w:val="18"/>
                <w:szCs w:val="18"/>
              </w:rPr>
            </w:pPr>
            <w:r w:rsidRPr="007710E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710EB" w:rsidRPr="007710EB" w:rsidRDefault="007710EB" w:rsidP="007710EB">
      <w:pPr>
        <w:widowControl/>
        <w:jc w:val="center"/>
        <w:rPr>
          <w:rFonts w:ascii="微软雅黑" w:eastAsia="微软雅黑" w:hAnsi="微软雅黑" w:cs="宋体"/>
          <w:color w:val="515151"/>
          <w:kern w:val="0"/>
          <w:sz w:val="18"/>
          <w:szCs w:val="18"/>
        </w:rPr>
      </w:pPr>
      <w:hyperlink r:id="rId11" w:tgtFrame="_blank" w:history="1">
        <w:r w:rsidRPr="007710EB">
          <w:rPr>
            <w:rFonts w:ascii="微软雅黑" w:eastAsia="微软雅黑" w:hAnsi="微软雅黑" w:cs="宋体" w:hint="eastAsia"/>
            <w:color w:val="0000FF"/>
            <w:kern w:val="0"/>
            <w:sz w:val="18"/>
            <w:szCs w:val="18"/>
            <w:u w:val="single"/>
          </w:rPr>
          <w:t>关于我们</w:t>
        </w:r>
      </w:hyperlink>
      <w:r w:rsidRPr="007710EB">
        <w:rPr>
          <w:rFonts w:ascii="微软雅黑" w:eastAsia="微软雅黑" w:hAnsi="微软雅黑" w:cs="宋体" w:hint="eastAsia"/>
          <w:color w:val="515151"/>
          <w:kern w:val="0"/>
          <w:sz w:val="18"/>
          <w:szCs w:val="18"/>
        </w:rPr>
        <w:t> - </w:t>
      </w:r>
      <w:hyperlink r:id="rId12" w:tgtFrame="_blank" w:history="1">
        <w:r w:rsidRPr="007710EB">
          <w:rPr>
            <w:rFonts w:ascii="微软雅黑" w:eastAsia="微软雅黑" w:hAnsi="微软雅黑" w:cs="宋体" w:hint="eastAsia"/>
            <w:color w:val="0000FF"/>
            <w:kern w:val="0"/>
            <w:sz w:val="18"/>
            <w:szCs w:val="18"/>
            <w:u w:val="single"/>
          </w:rPr>
          <w:t>法律声明</w:t>
        </w:r>
      </w:hyperlink>
      <w:r w:rsidRPr="007710EB">
        <w:rPr>
          <w:rFonts w:ascii="微软雅黑" w:eastAsia="微软雅黑" w:hAnsi="微软雅黑" w:cs="宋体" w:hint="eastAsia"/>
          <w:color w:val="515151"/>
          <w:kern w:val="0"/>
          <w:sz w:val="18"/>
          <w:szCs w:val="18"/>
        </w:rPr>
        <w:t> - </w:t>
      </w:r>
      <w:hyperlink r:id="rId13" w:tgtFrame="_blank" w:history="1">
        <w:r w:rsidRPr="007710EB">
          <w:rPr>
            <w:rFonts w:ascii="微软雅黑" w:eastAsia="微软雅黑" w:hAnsi="微软雅黑" w:cs="宋体" w:hint="eastAsia"/>
            <w:color w:val="0000FF"/>
            <w:kern w:val="0"/>
            <w:sz w:val="18"/>
            <w:szCs w:val="18"/>
            <w:u w:val="single"/>
          </w:rPr>
          <w:t>联系我们</w:t>
        </w:r>
      </w:hyperlink>
    </w:p>
    <w:p w:rsidR="007710EB" w:rsidRPr="007710EB" w:rsidRDefault="007710EB" w:rsidP="007710EB">
      <w:pPr>
        <w:widowControl/>
        <w:jc w:val="center"/>
        <w:rPr>
          <w:rFonts w:ascii="微软雅黑" w:eastAsia="微软雅黑" w:hAnsi="微软雅黑" w:cs="宋体" w:hint="eastAsia"/>
          <w:color w:val="515151"/>
          <w:kern w:val="0"/>
          <w:sz w:val="18"/>
          <w:szCs w:val="18"/>
        </w:rPr>
      </w:pPr>
      <w:r w:rsidRPr="007710EB">
        <w:rPr>
          <w:rFonts w:ascii="微软雅黑" w:eastAsia="微软雅黑" w:hAnsi="微软雅黑" w:cs="宋体" w:hint="eastAsia"/>
          <w:color w:val="515151"/>
          <w:kern w:val="0"/>
          <w:sz w:val="18"/>
          <w:szCs w:val="18"/>
        </w:rPr>
        <w:t>版权所有：中国证券监督管理委员会 京ICP备 05035542号</w:t>
      </w:r>
    </w:p>
    <w:p w:rsidR="007710EB" w:rsidRPr="007710EB" w:rsidRDefault="007710EB" w:rsidP="007710EB">
      <w:pPr>
        <w:widowControl/>
        <w:jc w:val="center"/>
        <w:rPr>
          <w:rFonts w:ascii="微软雅黑" w:eastAsia="微软雅黑" w:hAnsi="微软雅黑" w:cs="宋体" w:hint="eastAsia"/>
          <w:color w:val="515151"/>
          <w:kern w:val="0"/>
          <w:sz w:val="18"/>
          <w:szCs w:val="18"/>
        </w:rPr>
      </w:pPr>
      <w:r w:rsidRPr="007710EB">
        <w:rPr>
          <w:rFonts w:ascii="微软雅黑" w:eastAsia="微软雅黑" w:hAnsi="微软雅黑" w:cs="宋体" w:hint="eastAsia"/>
          <w:color w:val="515151"/>
          <w:kern w:val="0"/>
          <w:sz w:val="18"/>
          <w:szCs w:val="18"/>
        </w:rPr>
        <w:t>地址：北京市西城区金融大街19号富凯大厦A座 邮编：100033</w:t>
      </w:r>
    </w:p>
    <w:p w:rsidR="007710EB" w:rsidRPr="007710EB" w:rsidRDefault="007710EB" w:rsidP="007710EB">
      <w:pPr>
        <w:widowControl/>
        <w:jc w:val="center"/>
        <w:rPr>
          <w:rFonts w:ascii="微软雅黑" w:eastAsia="微软雅黑" w:hAnsi="微软雅黑" w:cs="宋体" w:hint="eastAsia"/>
          <w:color w:val="515151"/>
          <w:kern w:val="0"/>
          <w:sz w:val="18"/>
          <w:szCs w:val="18"/>
        </w:rPr>
      </w:pPr>
      <w:r w:rsidRPr="007710EB">
        <w:rPr>
          <w:rFonts w:ascii="微软雅黑" w:eastAsia="微软雅黑" w:hAnsi="微软雅黑" w:cs="宋体" w:hint="eastAsia"/>
          <w:color w:val="515151"/>
          <w:kern w:val="0"/>
          <w:sz w:val="18"/>
          <w:szCs w:val="18"/>
        </w:rPr>
        <w:t>建议使用IE5.5以上浏览器，分辨率1024*768</w:t>
      </w:r>
    </w:p>
    <w:p w:rsidR="00A55C11" w:rsidRPr="007710EB" w:rsidRDefault="00A55C11"/>
    <w:sectPr w:rsidR="00A55C11" w:rsidRPr="007710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EB"/>
    <w:rsid w:val="007710EB"/>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06F14-0874-48CD-836D-1FC2B70F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10E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710EB"/>
    <w:rPr>
      <w:b/>
      <w:bCs/>
    </w:rPr>
  </w:style>
  <w:style w:type="paragraph" w:customStyle="1" w:styleId="p0">
    <w:name w:val="p0"/>
    <w:basedOn w:val="a"/>
    <w:rsid w:val="007710E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710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589138">
      <w:bodyDiv w:val="1"/>
      <w:marLeft w:val="0"/>
      <w:marRight w:val="0"/>
      <w:marTop w:val="0"/>
      <w:marBottom w:val="0"/>
      <w:divBdr>
        <w:top w:val="none" w:sz="0" w:space="0" w:color="auto"/>
        <w:left w:val="none" w:sz="0" w:space="0" w:color="auto"/>
        <w:bottom w:val="none" w:sz="0" w:space="0" w:color="auto"/>
        <w:right w:val="none" w:sz="0" w:space="0" w:color="auto"/>
      </w:divBdr>
      <w:divsChild>
        <w:div w:id="802961786">
          <w:marLeft w:val="0"/>
          <w:marRight w:val="0"/>
          <w:marTop w:val="150"/>
          <w:marBottom w:val="150"/>
          <w:divBdr>
            <w:top w:val="none" w:sz="0" w:space="0" w:color="auto"/>
            <w:left w:val="none" w:sz="0" w:space="0" w:color="auto"/>
            <w:bottom w:val="none" w:sz="0" w:space="0" w:color="auto"/>
            <w:right w:val="none" w:sz="0" w:space="0" w:color="auto"/>
          </w:divBdr>
        </w:div>
        <w:div w:id="2089574803">
          <w:marLeft w:val="0"/>
          <w:marRight w:val="0"/>
          <w:marTop w:val="0"/>
          <w:marBottom w:val="0"/>
          <w:divBdr>
            <w:top w:val="single" w:sz="6" w:space="8" w:color="B5B5B5"/>
            <w:left w:val="single" w:sz="6" w:space="0" w:color="B5B5B5"/>
            <w:bottom w:val="single" w:sz="6" w:space="8" w:color="B5B5B5"/>
            <w:right w:val="single" w:sz="6" w:space="0" w:color="B5B5B5"/>
          </w:divBdr>
          <w:divsChild>
            <w:div w:id="626786552">
              <w:marLeft w:val="0"/>
              <w:marRight w:val="0"/>
              <w:marTop w:val="0"/>
              <w:marBottom w:val="0"/>
              <w:divBdr>
                <w:top w:val="none" w:sz="0" w:space="0" w:color="auto"/>
                <w:left w:val="none" w:sz="0" w:space="0" w:color="auto"/>
                <w:bottom w:val="none" w:sz="0" w:space="0" w:color="auto"/>
                <w:right w:val="none" w:sz="0" w:space="0" w:color="auto"/>
              </w:divBdr>
            </w:div>
            <w:div w:id="739519169">
              <w:marLeft w:val="0"/>
              <w:marRight w:val="0"/>
              <w:marTop w:val="0"/>
              <w:marBottom w:val="0"/>
              <w:divBdr>
                <w:top w:val="none" w:sz="0" w:space="0" w:color="auto"/>
                <w:left w:val="none" w:sz="0" w:space="0" w:color="auto"/>
                <w:bottom w:val="none" w:sz="0" w:space="0" w:color="auto"/>
                <w:right w:val="none" w:sz="0" w:space="0" w:color="auto"/>
              </w:divBdr>
            </w:div>
            <w:div w:id="850143792">
              <w:marLeft w:val="0"/>
              <w:marRight w:val="0"/>
              <w:marTop w:val="120"/>
              <w:marBottom w:val="120"/>
              <w:divBdr>
                <w:top w:val="none" w:sz="0" w:space="0" w:color="auto"/>
                <w:left w:val="none" w:sz="0" w:space="0" w:color="auto"/>
                <w:bottom w:val="none" w:sz="0" w:space="0" w:color="auto"/>
                <w:right w:val="none" w:sz="0" w:space="0" w:color="auto"/>
              </w:divBdr>
            </w:div>
          </w:divsChild>
        </w:div>
        <w:div w:id="1847019218">
          <w:marLeft w:val="0"/>
          <w:marRight w:val="0"/>
          <w:marTop w:val="120"/>
          <w:marBottom w:val="0"/>
          <w:divBdr>
            <w:top w:val="none" w:sz="0" w:space="0" w:color="auto"/>
            <w:left w:val="none" w:sz="0" w:space="0" w:color="auto"/>
            <w:bottom w:val="none" w:sz="0" w:space="0" w:color="auto"/>
            <w:right w:val="none" w:sz="0" w:space="0" w:color="auto"/>
          </w:divBdr>
          <w:divsChild>
            <w:div w:id="1919943164">
              <w:marLeft w:val="0"/>
              <w:marRight w:val="0"/>
              <w:marTop w:val="60"/>
              <w:marBottom w:val="0"/>
              <w:divBdr>
                <w:top w:val="none" w:sz="0" w:space="0" w:color="auto"/>
                <w:left w:val="none" w:sz="0" w:space="0" w:color="auto"/>
                <w:bottom w:val="none" w:sz="0" w:space="0" w:color="auto"/>
                <w:right w:val="none" w:sz="0" w:space="0" w:color="auto"/>
              </w:divBdr>
            </w:div>
            <w:div w:id="951595822">
              <w:marLeft w:val="0"/>
              <w:marRight w:val="0"/>
              <w:marTop w:val="60"/>
              <w:marBottom w:val="0"/>
              <w:divBdr>
                <w:top w:val="none" w:sz="0" w:space="0" w:color="auto"/>
                <w:left w:val="none" w:sz="0" w:space="0" w:color="auto"/>
                <w:bottom w:val="none" w:sz="0" w:space="0" w:color="auto"/>
                <w:right w:val="none" w:sz="0" w:space="0" w:color="auto"/>
              </w:divBdr>
            </w:div>
            <w:div w:id="199703824">
              <w:marLeft w:val="0"/>
              <w:marRight w:val="0"/>
              <w:marTop w:val="60"/>
              <w:marBottom w:val="0"/>
              <w:divBdr>
                <w:top w:val="none" w:sz="0" w:space="0" w:color="auto"/>
                <w:left w:val="none" w:sz="0" w:space="0" w:color="auto"/>
                <w:bottom w:val="none" w:sz="0" w:space="0" w:color="auto"/>
                <w:right w:val="none" w:sz="0" w:space="0" w:color="auto"/>
              </w:divBdr>
            </w:div>
            <w:div w:id="6050452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4/t20180404_33625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2020-02-15T12:11:00Z</dcterms:created>
  <dcterms:modified xsi:type="dcterms:W3CDTF">2020-02-15T12:11:00Z</dcterms:modified>
</cp:coreProperties>
</file>