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B22" w:rsidRPr="00C44B22" w:rsidRDefault="00C44B22" w:rsidP="00C44B22">
      <w:pPr>
        <w:widowControl/>
        <w:jc w:val="center"/>
        <w:rPr>
          <w:rFonts w:ascii="微软雅黑" w:eastAsia="微软雅黑" w:hAnsi="微软雅黑" w:cs="宋体"/>
          <w:color w:val="000000"/>
          <w:kern w:val="0"/>
          <w:sz w:val="18"/>
          <w:szCs w:val="18"/>
        </w:rPr>
      </w:pPr>
      <w:r w:rsidRPr="00C44B2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C44B22" w:rsidRPr="00C44B22" w:rsidTr="00C44B2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4B22" w:rsidRPr="00C44B22">
              <w:trPr>
                <w:tblCellSpacing w:w="0" w:type="dxa"/>
              </w:trPr>
              <w:tc>
                <w:tcPr>
                  <w:tcW w:w="2500" w:type="pct"/>
                  <w:tcMar>
                    <w:top w:w="30" w:type="dxa"/>
                    <w:left w:w="30" w:type="dxa"/>
                    <w:bottom w:w="30" w:type="dxa"/>
                    <w:right w:w="30" w:type="dxa"/>
                  </w:tcMar>
                  <w:hideMark/>
                </w:tcPr>
                <w:p w:rsidR="00C44B22" w:rsidRPr="00C44B22" w:rsidRDefault="00C44B22" w:rsidP="00C44B22">
                  <w:pPr>
                    <w:widowControl/>
                    <w:jc w:val="left"/>
                    <w:rPr>
                      <w:rFonts w:ascii="宋体" w:eastAsia="宋体" w:hAnsi="宋体" w:cs="宋体" w:hint="eastAsia"/>
                      <w:color w:val="686868"/>
                      <w:kern w:val="0"/>
                      <w:sz w:val="18"/>
                      <w:szCs w:val="18"/>
                    </w:rPr>
                  </w:pPr>
                  <w:r w:rsidRPr="00C44B22">
                    <w:rPr>
                      <w:rFonts w:ascii="宋体" w:eastAsia="宋体" w:hAnsi="宋体" w:cs="宋体"/>
                      <w:b/>
                      <w:bCs/>
                      <w:color w:val="686868"/>
                      <w:kern w:val="0"/>
                      <w:sz w:val="18"/>
                      <w:szCs w:val="18"/>
                    </w:rPr>
                    <w:t>索 引 号:</w:t>
                  </w:r>
                  <w:r w:rsidRPr="00C44B2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44B22" w:rsidRPr="00C44B22" w:rsidRDefault="00C44B22" w:rsidP="00C44B22">
                  <w:pPr>
                    <w:widowControl/>
                    <w:jc w:val="left"/>
                    <w:rPr>
                      <w:rFonts w:ascii="宋体" w:eastAsia="宋体" w:hAnsi="宋体" w:cs="宋体"/>
                      <w:color w:val="686868"/>
                      <w:kern w:val="0"/>
                      <w:sz w:val="18"/>
                      <w:szCs w:val="18"/>
                    </w:rPr>
                  </w:pPr>
                  <w:r w:rsidRPr="00C44B22">
                    <w:rPr>
                      <w:rFonts w:ascii="宋体" w:eastAsia="宋体" w:hAnsi="宋体" w:cs="宋体"/>
                      <w:b/>
                      <w:bCs/>
                      <w:color w:val="686868"/>
                      <w:kern w:val="0"/>
                      <w:sz w:val="18"/>
                      <w:szCs w:val="18"/>
                    </w:rPr>
                    <w:t>分类:</w:t>
                  </w:r>
                  <w:r w:rsidRPr="00C44B22">
                    <w:rPr>
                      <w:rFonts w:ascii="宋体" w:eastAsia="宋体" w:hAnsi="宋体" w:cs="宋体"/>
                      <w:color w:val="686868"/>
                      <w:kern w:val="0"/>
                      <w:sz w:val="18"/>
                      <w:szCs w:val="18"/>
                    </w:rPr>
                    <w:t> 行政处罚 ; 行政处罚决定</w:t>
                  </w:r>
                </w:p>
              </w:tc>
            </w:tr>
          </w:tbl>
          <w:p w:rsidR="00C44B22" w:rsidRPr="00C44B22" w:rsidRDefault="00C44B22" w:rsidP="00C44B22">
            <w:pPr>
              <w:widowControl/>
              <w:jc w:val="left"/>
              <w:rPr>
                <w:rFonts w:ascii="宋体" w:eastAsia="宋体" w:hAnsi="宋体" w:cs="宋体"/>
                <w:color w:val="686868"/>
                <w:kern w:val="0"/>
                <w:sz w:val="18"/>
                <w:szCs w:val="18"/>
              </w:rPr>
            </w:pPr>
          </w:p>
        </w:tc>
      </w:tr>
      <w:tr w:rsidR="00C44B22" w:rsidRPr="00C44B22" w:rsidTr="00C44B2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4B22" w:rsidRPr="00C44B22">
              <w:trPr>
                <w:tblCellSpacing w:w="0" w:type="dxa"/>
              </w:trPr>
              <w:tc>
                <w:tcPr>
                  <w:tcW w:w="2500" w:type="pct"/>
                  <w:tcMar>
                    <w:top w:w="30" w:type="dxa"/>
                    <w:left w:w="30" w:type="dxa"/>
                    <w:bottom w:w="30" w:type="dxa"/>
                    <w:right w:w="30" w:type="dxa"/>
                  </w:tcMar>
                  <w:hideMark/>
                </w:tcPr>
                <w:p w:rsidR="00C44B22" w:rsidRPr="00C44B22" w:rsidRDefault="00C44B22" w:rsidP="00C44B22">
                  <w:pPr>
                    <w:widowControl/>
                    <w:jc w:val="left"/>
                    <w:rPr>
                      <w:rFonts w:ascii="宋体" w:eastAsia="宋体" w:hAnsi="宋体" w:cs="宋体"/>
                      <w:color w:val="686868"/>
                      <w:kern w:val="0"/>
                      <w:sz w:val="18"/>
                      <w:szCs w:val="18"/>
                    </w:rPr>
                  </w:pPr>
                  <w:r w:rsidRPr="00C44B22">
                    <w:rPr>
                      <w:rFonts w:ascii="宋体" w:eastAsia="宋体" w:hAnsi="宋体" w:cs="宋体"/>
                      <w:b/>
                      <w:bCs/>
                      <w:color w:val="686868"/>
                      <w:kern w:val="0"/>
                      <w:sz w:val="18"/>
                      <w:szCs w:val="18"/>
                    </w:rPr>
                    <w:t>发布机构:</w:t>
                  </w:r>
                  <w:r w:rsidRPr="00C44B2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44B22" w:rsidRPr="00C44B22" w:rsidRDefault="00C44B22" w:rsidP="00C44B22">
                  <w:pPr>
                    <w:widowControl/>
                    <w:jc w:val="left"/>
                    <w:rPr>
                      <w:rFonts w:ascii="宋体" w:eastAsia="宋体" w:hAnsi="宋体" w:cs="宋体"/>
                      <w:color w:val="686868"/>
                      <w:kern w:val="0"/>
                      <w:sz w:val="18"/>
                      <w:szCs w:val="18"/>
                    </w:rPr>
                  </w:pPr>
                  <w:r w:rsidRPr="00C44B22">
                    <w:rPr>
                      <w:rFonts w:ascii="宋体" w:eastAsia="宋体" w:hAnsi="宋体" w:cs="宋体"/>
                      <w:b/>
                      <w:bCs/>
                      <w:color w:val="686868"/>
                      <w:kern w:val="0"/>
                      <w:sz w:val="18"/>
                      <w:szCs w:val="18"/>
                    </w:rPr>
                    <w:t>发文日期:</w:t>
                  </w:r>
                  <w:r w:rsidRPr="00C44B22">
                    <w:rPr>
                      <w:rFonts w:ascii="宋体" w:eastAsia="宋体" w:hAnsi="宋体" w:cs="宋体"/>
                      <w:color w:val="686868"/>
                      <w:kern w:val="0"/>
                      <w:sz w:val="18"/>
                      <w:szCs w:val="18"/>
                    </w:rPr>
                    <w:t> 2018年08月20日</w:t>
                  </w:r>
                </w:p>
              </w:tc>
            </w:tr>
          </w:tbl>
          <w:p w:rsidR="00C44B22" w:rsidRPr="00C44B22" w:rsidRDefault="00C44B22" w:rsidP="00C44B22">
            <w:pPr>
              <w:widowControl/>
              <w:jc w:val="left"/>
              <w:rPr>
                <w:rFonts w:ascii="宋体" w:eastAsia="宋体" w:hAnsi="宋体" w:cs="宋体"/>
                <w:color w:val="686868"/>
                <w:kern w:val="0"/>
                <w:sz w:val="18"/>
                <w:szCs w:val="18"/>
              </w:rPr>
            </w:pPr>
          </w:p>
        </w:tc>
      </w:tr>
      <w:tr w:rsidR="00C44B22" w:rsidRPr="00C44B22" w:rsidTr="00C44B22">
        <w:trPr>
          <w:tblCellSpacing w:w="0" w:type="dxa"/>
        </w:trPr>
        <w:tc>
          <w:tcPr>
            <w:tcW w:w="0" w:type="auto"/>
            <w:tcMar>
              <w:top w:w="30" w:type="dxa"/>
              <w:left w:w="30" w:type="dxa"/>
              <w:bottom w:w="30" w:type="dxa"/>
              <w:right w:w="30" w:type="dxa"/>
            </w:tcMar>
            <w:hideMark/>
          </w:tcPr>
          <w:p w:rsidR="00C44B22" w:rsidRPr="00C44B22" w:rsidRDefault="00C44B22" w:rsidP="00C44B22">
            <w:pPr>
              <w:widowControl/>
              <w:jc w:val="left"/>
              <w:rPr>
                <w:rFonts w:ascii="宋体" w:eastAsia="宋体" w:hAnsi="宋体" w:cs="宋体"/>
                <w:color w:val="686868"/>
                <w:kern w:val="0"/>
                <w:sz w:val="18"/>
                <w:szCs w:val="18"/>
              </w:rPr>
            </w:pPr>
            <w:r w:rsidRPr="00C44B22">
              <w:rPr>
                <w:rFonts w:ascii="宋体" w:eastAsia="宋体" w:hAnsi="宋体" w:cs="宋体"/>
                <w:b/>
                <w:bCs/>
                <w:color w:val="686868"/>
                <w:kern w:val="0"/>
                <w:sz w:val="18"/>
                <w:szCs w:val="18"/>
              </w:rPr>
              <w:t>名　　称:</w:t>
            </w:r>
            <w:r w:rsidRPr="00C44B22">
              <w:rPr>
                <w:rFonts w:ascii="宋体" w:eastAsia="宋体" w:hAnsi="宋体" w:cs="宋体"/>
                <w:color w:val="686868"/>
                <w:kern w:val="0"/>
                <w:sz w:val="18"/>
                <w:szCs w:val="18"/>
              </w:rPr>
              <w:t> 中国证监会行政处罚决定书（胡忠权）</w:t>
            </w:r>
          </w:p>
        </w:tc>
      </w:tr>
      <w:tr w:rsidR="00C44B22" w:rsidRPr="00C44B22" w:rsidTr="00C44B2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44B22" w:rsidRPr="00C44B22">
              <w:trPr>
                <w:tblCellSpacing w:w="0" w:type="dxa"/>
              </w:trPr>
              <w:tc>
                <w:tcPr>
                  <w:tcW w:w="2500" w:type="pct"/>
                  <w:tcMar>
                    <w:top w:w="30" w:type="dxa"/>
                    <w:left w:w="30" w:type="dxa"/>
                    <w:bottom w:w="30" w:type="dxa"/>
                    <w:right w:w="30" w:type="dxa"/>
                  </w:tcMar>
                  <w:hideMark/>
                </w:tcPr>
                <w:p w:rsidR="00C44B22" w:rsidRPr="00C44B22" w:rsidRDefault="00C44B22" w:rsidP="00C44B22">
                  <w:pPr>
                    <w:widowControl/>
                    <w:jc w:val="left"/>
                    <w:rPr>
                      <w:rFonts w:ascii="宋体" w:eastAsia="宋体" w:hAnsi="宋体" w:cs="宋体"/>
                      <w:color w:val="686868"/>
                      <w:kern w:val="0"/>
                      <w:sz w:val="18"/>
                      <w:szCs w:val="18"/>
                    </w:rPr>
                  </w:pPr>
                  <w:r w:rsidRPr="00C44B22">
                    <w:rPr>
                      <w:rFonts w:ascii="宋体" w:eastAsia="宋体" w:hAnsi="宋体" w:cs="宋体"/>
                      <w:b/>
                      <w:bCs/>
                      <w:color w:val="686868"/>
                      <w:kern w:val="0"/>
                      <w:sz w:val="18"/>
                      <w:szCs w:val="18"/>
                    </w:rPr>
                    <w:t>文　　号:</w:t>
                  </w:r>
                  <w:r w:rsidRPr="00C44B22">
                    <w:rPr>
                      <w:rFonts w:ascii="宋体" w:eastAsia="宋体" w:hAnsi="宋体" w:cs="宋体"/>
                      <w:color w:val="686868"/>
                      <w:kern w:val="0"/>
                      <w:sz w:val="18"/>
                      <w:szCs w:val="18"/>
                    </w:rPr>
                    <w:t> </w:t>
                  </w:r>
                  <w:bookmarkStart w:id="0" w:name="_GoBack"/>
                  <w:r w:rsidRPr="00C44B22">
                    <w:rPr>
                      <w:rFonts w:ascii="宋体" w:eastAsia="宋体" w:hAnsi="宋体" w:cs="宋体"/>
                      <w:color w:val="686868"/>
                      <w:kern w:val="0"/>
                      <w:sz w:val="18"/>
                      <w:szCs w:val="18"/>
                    </w:rPr>
                    <w:t>〔2018〕85号</w:t>
                  </w:r>
                  <w:bookmarkEnd w:id="0"/>
                </w:p>
              </w:tc>
              <w:tc>
                <w:tcPr>
                  <w:tcW w:w="0" w:type="auto"/>
                  <w:tcMar>
                    <w:top w:w="30" w:type="dxa"/>
                    <w:left w:w="30" w:type="dxa"/>
                    <w:bottom w:w="30" w:type="dxa"/>
                    <w:right w:w="30" w:type="dxa"/>
                  </w:tcMar>
                  <w:hideMark/>
                </w:tcPr>
                <w:p w:rsidR="00C44B22" w:rsidRPr="00C44B22" w:rsidRDefault="00C44B22" w:rsidP="00C44B22">
                  <w:pPr>
                    <w:widowControl/>
                    <w:jc w:val="left"/>
                    <w:rPr>
                      <w:rFonts w:ascii="宋体" w:eastAsia="宋体" w:hAnsi="宋体" w:cs="宋体"/>
                      <w:color w:val="686868"/>
                      <w:kern w:val="0"/>
                      <w:sz w:val="18"/>
                      <w:szCs w:val="18"/>
                    </w:rPr>
                  </w:pPr>
                  <w:r w:rsidRPr="00C44B22">
                    <w:rPr>
                      <w:rFonts w:ascii="宋体" w:eastAsia="宋体" w:hAnsi="宋体" w:cs="宋体"/>
                      <w:b/>
                      <w:bCs/>
                      <w:color w:val="686868"/>
                      <w:kern w:val="0"/>
                      <w:sz w:val="18"/>
                      <w:szCs w:val="18"/>
                    </w:rPr>
                    <w:t>主 题 词:</w:t>
                  </w:r>
                </w:p>
              </w:tc>
            </w:tr>
          </w:tbl>
          <w:p w:rsidR="00C44B22" w:rsidRPr="00C44B22" w:rsidRDefault="00C44B22" w:rsidP="00C44B22">
            <w:pPr>
              <w:widowControl/>
              <w:jc w:val="left"/>
              <w:rPr>
                <w:rFonts w:ascii="宋体" w:eastAsia="宋体" w:hAnsi="宋体" w:cs="宋体"/>
                <w:color w:val="686868"/>
                <w:kern w:val="0"/>
                <w:sz w:val="18"/>
                <w:szCs w:val="18"/>
              </w:rPr>
            </w:pPr>
          </w:p>
        </w:tc>
      </w:tr>
    </w:tbl>
    <w:p w:rsidR="00C44B22" w:rsidRPr="00C44B22" w:rsidRDefault="00C44B22" w:rsidP="00C44B22">
      <w:pPr>
        <w:widowControl/>
        <w:jc w:val="center"/>
        <w:rPr>
          <w:rFonts w:ascii="微软雅黑" w:eastAsia="微软雅黑" w:hAnsi="微软雅黑" w:cs="宋体"/>
          <w:color w:val="000000"/>
          <w:kern w:val="0"/>
          <w:sz w:val="18"/>
          <w:szCs w:val="18"/>
        </w:rPr>
      </w:pPr>
      <w:r w:rsidRPr="00C44B2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44B22" w:rsidRPr="00C44B22" w:rsidRDefault="00C44B22" w:rsidP="00C44B22">
      <w:pPr>
        <w:widowControl/>
        <w:shd w:val="clear" w:color="auto" w:fill="FFFFFF"/>
        <w:spacing w:after="240"/>
        <w:jc w:val="center"/>
        <w:rPr>
          <w:rFonts w:ascii="微软雅黑" w:eastAsia="微软雅黑" w:hAnsi="微软雅黑" w:cs="宋体" w:hint="eastAsia"/>
          <w:color w:val="000000"/>
          <w:kern w:val="0"/>
          <w:sz w:val="18"/>
          <w:szCs w:val="18"/>
        </w:rPr>
      </w:pPr>
      <w:r w:rsidRPr="00C44B22">
        <w:rPr>
          <w:rFonts w:ascii="微软雅黑" w:eastAsia="微软雅黑" w:hAnsi="微软雅黑" w:cs="宋体" w:hint="eastAsia"/>
          <w:color w:val="000000"/>
          <w:kern w:val="0"/>
          <w:sz w:val="18"/>
          <w:szCs w:val="18"/>
        </w:rPr>
        <w:br/>
      </w:r>
      <w:r w:rsidRPr="00C44B22">
        <w:rPr>
          <w:rFonts w:ascii="黑体" w:eastAsia="黑体" w:hAnsi="黑体" w:cs="宋体" w:hint="eastAsia"/>
          <w:b/>
          <w:bCs/>
          <w:color w:val="FF0000"/>
          <w:kern w:val="0"/>
          <w:sz w:val="36"/>
          <w:szCs w:val="36"/>
        </w:rPr>
        <w:t>中国证监会行政处罚决定书（胡忠权）</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center"/>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〔2018〕85号</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当事人：胡忠权，男，1965年8月出生，时任招商银行南京分行授信</w:t>
      </w:r>
      <w:proofErr w:type="gramStart"/>
      <w:r w:rsidRPr="00C44B22">
        <w:rPr>
          <w:rFonts w:ascii="宋体" w:eastAsia="宋体" w:hAnsi="宋体" w:cs="宋体" w:hint="eastAsia"/>
          <w:color w:val="000000"/>
          <w:kern w:val="0"/>
          <w:szCs w:val="21"/>
        </w:rPr>
        <w:t>审批部</w:t>
      </w:r>
      <w:proofErr w:type="gramEnd"/>
      <w:r w:rsidRPr="00C44B22">
        <w:rPr>
          <w:rFonts w:ascii="宋体" w:eastAsia="宋体" w:hAnsi="宋体" w:cs="宋体" w:hint="eastAsia"/>
          <w:color w:val="000000"/>
          <w:kern w:val="0"/>
          <w:szCs w:val="21"/>
        </w:rPr>
        <w:t>副总经理，住址：江苏省南京市。</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依据《中华人民共和国证券法》（以下简称《证券法》）的规定，我会对胡忠权内幕交易维格娜丝时装股份有限公司（以下简称维格娜丝）股票案进行了立案调查、审理，并依法向当事人告知了</w:t>
      </w:r>
      <w:proofErr w:type="gramStart"/>
      <w:r w:rsidRPr="00C44B22">
        <w:rPr>
          <w:rFonts w:ascii="宋体" w:eastAsia="宋体" w:hAnsi="宋体" w:cs="宋体" w:hint="eastAsia"/>
          <w:color w:val="000000"/>
          <w:kern w:val="0"/>
          <w:szCs w:val="21"/>
        </w:rPr>
        <w:t>作出</w:t>
      </w:r>
      <w:proofErr w:type="gramEnd"/>
      <w:r w:rsidRPr="00C44B22">
        <w:rPr>
          <w:rFonts w:ascii="宋体" w:eastAsia="宋体" w:hAnsi="宋体" w:cs="宋体" w:hint="eastAsia"/>
          <w:color w:val="000000"/>
          <w:kern w:val="0"/>
          <w:szCs w:val="21"/>
        </w:rPr>
        <w:t>行政处罚的事实、理由、依据及当事人依法享有的权利。当事人未陈述、申辩，也未要求听证。本案现已调查、审理终结。</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经查明，当事人存在以下违法事实：</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一、内幕信息形成与公开过程</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2016年4月上旬，</w:t>
      </w:r>
      <w:proofErr w:type="gramStart"/>
      <w:r w:rsidRPr="00C44B22">
        <w:rPr>
          <w:rFonts w:ascii="宋体" w:eastAsia="宋体" w:hAnsi="宋体" w:cs="宋体" w:hint="eastAsia"/>
          <w:color w:val="000000"/>
          <w:kern w:val="0"/>
          <w:szCs w:val="21"/>
        </w:rPr>
        <w:t>株式会社衣念世界</w:t>
      </w:r>
      <w:proofErr w:type="gramEnd"/>
      <w:r w:rsidRPr="00C44B22">
        <w:rPr>
          <w:rFonts w:ascii="宋体" w:eastAsia="宋体" w:hAnsi="宋体" w:cs="宋体" w:hint="eastAsia"/>
          <w:color w:val="000000"/>
          <w:kern w:val="0"/>
          <w:szCs w:val="21"/>
        </w:rPr>
        <w:t>（以下</w:t>
      </w:r>
      <w:proofErr w:type="gramStart"/>
      <w:r w:rsidRPr="00C44B22">
        <w:rPr>
          <w:rFonts w:ascii="宋体" w:eastAsia="宋体" w:hAnsi="宋体" w:cs="宋体" w:hint="eastAsia"/>
          <w:color w:val="000000"/>
          <w:kern w:val="0"/>
          <w:szCs w:val="21"/>
        </w:rPr>
        <w:t>简称衣念世界</w:t>
      </w:r>
      <w:proofErr w:type="gramEnd"/>
      <w:r w:rsidRPr="00C44B22">
        <w:rPr>
          <w:rFonts w:ascii="宋体" w:eastAsia="宋体" w:hAnsi="宋体" w:cs="宋体" w:hint="eastAsia"/>
          <w:color w:val="000000"/>
          <w:kern w:val="0"/>
          <w:szCs w:val="21"/>
        </w:rPr>
        <w:t>）拟</w:t>
      </w:r>
      <w:proofErr w:type="gramStart"/>
      <w:r w:rsidRPr="00C44B22">
        <w:rPr>
          <w:rFonts w:ascii="宋体" w:eastAsia="宋体" w:hAnsi="宋体" w:cs="宋体" w:hint="eastAsia"/>
          <w:color w:val="000000"/>
          <w:kern w:val="0"/>
          <w:szCs w:val="21"/>
        </w:rPr>
        <w:t>出售衣念时装</w:t>
      </w:r>
      <w:proofErr w:type="gramEnd"/>
      <w:r w:rsidRPr="00C44B22">
        <w:rPr>
          <w:rFonts w:ascii="宋体" w:eastAsia="宋体" w:hAnsi="宋体" w:cs="宋体" w:hint="eastAsia"/>
          <w:color w:val="000000"/>
          <w:kern w:val="0"/>
          <w:szCs w:val="21"/>
        </w:rPr>
        <w:t>香港有限公司（</w:t>
      </w:r>
      <w:proofErr w:type="gramStart"/>
      <w:r w:rsidRPr="00C44B22">
        <w:rPr>
          <w:rFonts w:ascii="宋体" w:eastAsia="宋体" w:hAnsi="宋体" w:cs="宋体" w:hint="eastAsia"/>
          <w:color w:val="000000"/>
          <w:kern w:val="0"/>
          <w:szCs w:val="21"/>
        </w:rPr>
        <w:t>衣念香港</w:t>
      </w:r>
      <w:proofErr w:type="gramEnd"/>
      <w:r w:rsidRPr="00C44B22">
        <w:rPr>
          <w:rFonts w:ascii="宋体" w:eastAsia="宋体" w:hAnsi="宋体" w:cs="宋体" w:hint="eastAsia"/>
          <w:color w:val="000000"/>
          <w:kern w:val="0"/>
          <w:szCs w:val="21"/>
        </w:rPr>
        <w:t>）及其关联方持有的</w:t>
      </w:r>
      <w:proofErr w:type="spellStart"/>
      <w:r w:rsidRPr="00C44B22">
        <w:rPr>
          <w:rFonts w:ascii="宋体" w:eastAsia="宋体" w:hAnsi="宋体" w:cs="宋体" w:hint="eastAsia"/>
          <w:color w:val="000000"/>
          <w:kern w:val="0"/>
          <w:szCs w:val="21"/>
        </w:rPr>
        <w:t>Teenie</w:t>
      </w:r>
      <w:proofErr w:type="spellEnd"/>
      <w:r w:rsidRPr="00C44B22">
        <w:rPr>
          <w:rFonts w:ascii="宋体" w:eastAsia="宋体" w:hAnsi="宋体" w:cs="宋体" w:hint="eastAsia"/>
          <w:color w:val="000000"/>
          <w:kern w:val="0"/>
          <w:szCs w:val="21"/>
        </w:rPr>
        <w:t> Weenie品牌及该品牌相关的资产和业务，寻找潜在的投资人，其中包括维格娜丝。</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2016年5月7日，维格娜丝的管理团队成员召开会议讨论收购</w:t>
      </w:r>
      <w:proofErr w:type="spellStart"/>
      <w:r w:rsidRPr="00C44B22">
        <w:rPr>
          <w:rFonts w:ascii="宋体" w:eastAsia="宋体" w:hAnsi="宋体" w:cs="宋体" w:hint="eastAsia"/>
          <w:color w:val="000000"/>
          <w:kern w:val="0"/>
          <w:szCs w:val="21"/>
        </w:rPr>
        <w:t>Teenie</w:t>
      </w:r>
      <w:proofErr w:type="spellEnd"/>
      <w:r w:rsidRPr="00C44B22">
        <w:rPr>
          <w:rFonts w:ascii="宋体" w:eastAsia="宋体" w:hAnsi="宋体" w:cs="宋体" w:hint="eastAsia"/>
          <w:color w:val="000000"/>
          <w:kern w:val="0"/>
          <w:szCs w:val="21"/>
        </w:rPr>
        <w:t> Weenie品牌在大陆地区资产和业务的事项，会上达成一致意见确定参与该项目的竞标。</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2016年6月3日，维格娜丝发出第一轮投标书，6月7日，维格娜丝得知已进入第二轮竞标，维格娜丝联系招商银行协助做几十亿规模的融资方案。</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2016年7月4日，招商银行总行投行部、招商银行南京江宁支行与维格娜丝召开融资方案讨论会。</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2016年7月29日，</w:t>
      </w:r>
      <w:proofErr w:type="gramStart"/>
      <w:r w:rsidRPr="00C44B22">
        <w:rPr>
          <w:rFonts w:ascii="宋体" w:eastAsia="宋体" w:hAnsi="宋体" w:cs="宋体" w:hint="eastAsia"/>
          <w:color w:val="000000"/>
          <w:kern w:val="0"/>
          <w:szCs w:val="21"/>
        </w:rPr>
        <w:t>衣念世界</w:t>
      </w:r>
      <w:proofErr w:type="gramEnd"/>
      <w:r w:rsidRPr="00C44B22">
        <w:rPr>
          <w:rFonts w:ascii="宋体" w:eastAsia="宋体" w:hAnsi="宋体" w:cs="宋体" w:hint="eastAsia"/>
          <w:color w:val="000000"/>
          <w:kern w:val="0"/>
          <w:szCs w:val="21"/>
        </w:rPr>
        <w:t>告知维格娜丝竞标成功。同日，招商银行南京分行召开对维格娜丝的授信审批会议，胡忠权参会并发表意见。</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2016年8月25日，招商银行总行审贷会审批通过维格娜丝融资方案；2016年8月29日，维格娜丝获悉招商银行总行审批通过维格娜丝融资方案。</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lastRenderedPageBreak/>
        <w:t>2016年9月3日，维格娜丝公告该收购事项。该收购事项在公开披露前，属于《证券法》规定的内幕信息。内幕信息不晚于2016年5月7日形成，公开于2016年9月3日。</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二、胡忠权内幕交易“维格娜丝”</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（一）胡忠权是证券交易内幕信息知情人</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胡忠权自2015年9月起任招商银行南京分行授信</w:t>
      </w:r>
      <w:proofErr w:type="gramStart"/>
      <w:r w:rsidRPr="00C44B22">
        <w:rPr>
          <w:rFonts w:ascii="宋体" w:eastAsia="宋体" w:hAnsi="宋体" w:cs="宋体" w:hint="eastAsia"/>
          <w:color w:val="000000"/>
          <w:kern w:val="0"/>
          <w:szCs w:val="21"/>
        </w:rPr>
        <w:t>审批部</w:t>
      </w:r>
      <w:proofErr w:type="gramEnd"/>
      <w:r w:rsidRPr="00C44B22">
        <w:rPr>
          <w:rFonts w:ascii="宋体" w:eastAsia="宋体" w:hAnsi="宋体" w:cs="宋体" w:hint="eastAsia"/>
          <w:color w:val="000000"/>
          <w:kern w:val="0"/>
          <w:szCs w:val="21"/>
        </w:rPr>
        <w:t>副总经理，先后两次参加2016年7月29 日和8月2日针对维格娜丝的授信审批会议，并发表意见，是证券交易内幕信息知情人，知悉内幕信息时间不晚于2016年7月29日。</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（二）“胡忠权”“胡某凯”证券账户交易“维格娜丝”情况</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胡忠权”证券账户于2010年10月13日在国信证券南京洪武路营业部开立，2016年8月18日买入“维格娜丝”7,400股，成交金额230,140元；8月25日买入“维格娜丝”6,400股，成交金额196,306元。截至2017年8月24日全部卖出，实际获利66,678.77元。</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胡某凯”证券账户于2007年3月7日在华泰证券南京长江路证券营业部开立，“胡某凯”普通证券账户从2016年8月5日至8月18日共买入“维格娜丝”37,500股，成交金额1,145,227元，8月12日卖出“维格娜丝”17,000股，成交金额512,722元，剩余20,500股作为担保品划入“胡某凯”信用证券账户。“胡某凯”信用证券账户于2016年8月18日买入“维格娜丝”64,904股（不含普通账户划入20,500股），成交金额2,020,699元；12月22日卖出“维格娜丝”10,000股，成交金额351,301元，2017年1月5日卖出“维格娜丝”5,800股，成交金额189,606元。截止8月24日已经全部卖出，实际获利16,301.38元。</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综上，“胡忠权”、“胡某凯”证券账户实际获利82,980.15元。</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（三）“胡忠权”、“胡某凯”证券账户实际控制及操作情况</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胡某凯称其名下证券账户自开立至今均由胡忠权使用，交易决策由胡忠权做出，资金属于胡忠权。胡忠权也称胡某凯证券账户由其使用、投资决策并下单操作。</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上述证券账户通过胡忠权本人手机号码委托下单。</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（四）“胡忠权”“胡某凯”证券账户资金来源</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“胡忠权”“胡某凯”证券账户交易“维格娜丝”的资金主要来源于历史沉淀资金和卖出其他股票的资金。</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上述事实，有相关证券账户交易终端硬件信息、证券账户资料、银行账户资料、相关人员询问笔录及情况说明、交易所相关数据信息等证据证明，足以认定。</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我会认为，维格娜丝拟以现金方式</w:t>
      </w:r>
      <w:proofErr w:type="gramStart"/>
      <w:r w:rsidRPr="00C44B22">
        <w:rPr>
          <w:rFonts w:ascii="宋体" w:eastAsia="宋体" w:hAnsi="宋体" w:cs="宋体" w:hint="eastAsia"/>
          <w:color w:val="000000"/>
          <w:kern w:val="0"/>
          <w:szCs w:val="21"/>
        </w:rPr>
        <w:t>收购衣念香港</w:t>
      </w:r>
      <w:proofErr w:type="gramEnd"/>
      <w:r w:rsidRPr="00C44B22">
        <w:rPr>
          <w:rFonts w:ascii="宋体" w:eastAsia="宋体" w:hAnsi="宋体" w:cs="宋体" w:hint="eastAsia"/>
          <w:color w:val="000000"/>
          <w:kern w:val="0"/>
          <w:szCs w:val="21"/>
        </w:rPr>
        <w:t>及其关联方持有的</w:t>
      </w:r>
      <w:proofErr w:type="spellStart"/>
      <w:r w:rsidRPr="00C44B22">
        <w:rPr>
          <w:rFonts w:ascii="宋体" w:eastAsia="宋体" w:hAnsi="宋体" w:cs="宋体" w:hint="eastAsia"/>
          <w:color w:val="000000"/>
          <w:kern w:val="0"/>
          <w:szCs w:val="21"/>
        </w:rPr>
        <w:t>Teenie</w:t>
      </w:r>
      <w:proofErr w:type="spellEnd"/>
      <w:r w:rsidRPr="00C44B22">
        <w:rPr>
          <w:rFonts w:ascii="宋体" w:eastAsia="宋体" w:hAnsi="宋体" w:cs="宋体" w:hint="eastAsia"/>
          <w:color w:val="000000"/>
          <w:kern w:val="0"/>
          <w:szCs w:val="21"/>
        </w:rPr>
        <w:t> Weenie品牌及该品牌相关的资产和业务的事项，在公开披露前，属于《证券法》第六十七条第二款第（二）项规定的“公司的重大投资行为和重大的购置财产的决定”，是《证券法》第七十五条第二款第（一）项规定的内幕信息。内幕信息不晚于2016年5月7日形成，公开于2016年9月3日。</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胡忠</w:t>
      </w:r>
      <w:proofErr w:type="gramStart"/>
      <w:r w:rsidRPr="00C44B22">
        <w:rPr>
          <w:rFonts w:ascii="宋体" w:eastAsia="宋体" w:hAnsi="宋体" w:cs="宋体" w:hint="eastAsia"/>
          <w:color w:val="000000"/>
          <w:kern w:val="0"/>
          <w:szCs w:val="21"/>
        </w:rPr>
        <w:t>权时任</w:t>
      </w:r>
      <w:proofErr w:type="gramEnd"/>
      <w:r w:rsidRPr="00C44B22">
        <w:rPr>
          <w:rFonts w:ascii="宋体" w:eastAsia="宋体" w:hAnsi="宋体" w:cs="宋体" w:hint="eastAsia"/>
          <w:color w:val="000000"/>
          <w:kern w:val="0"/>
          <w:szCs w:val="21"/>
        </w:rPr>
        <w:t>招商银行南京分行授信</w:t>
      </w:r>
      <w:proofErr w:type="gramStart"/>
      <w:r w:rsidRPr="00C44B22">
        <w:rPr>
          <w:rFonts w:ascii="宋体" w:eastAsia="宋体" w:hAnsi="宋体" w:cs="宋体" w:hint="eastAsia"/>
          <w:color w:val="000000"/>
          <w:kern w:val="0"/>
          <w:szCs w:val="21"/>
        </w:rPr>
        <w:t>审批部</w:t>
      </w:r>
      <w:proofErr w:type="gramEnd"/>
      <w:r w:rsidRPr="00C44B22">
        <w:rPr>
          <w:rFonts w:ascii="宋体" w:eastAsia="宋体" w:hAnsi="宋体" w:cs="宋体" w:hint="eastAsia"/>
          <w:color w:val="000000"/>
          <w:kern w:val="0"/>
          <w:szCs w:val="21"/>
        </w:rPr>
        <w:t>副总经理，参加对维格娜丝的授信审批会议，为证券交易内幕信息知情人，知悉内幕信息时间不晚于2016年7月29日。</w:t>
      </w:r>
      <w:proofErr w:type="gramStart"/>
      <w:r w:rsidRPr="00C44B22">
        <w:rPr>
          <w:rFonts w:ascii="宋体" w:eastAsia="宋体" w:hAnsi="宋体" w:cs="宋体" w:hint="eastAsia"/>
          <w:color w:val="000000"/>
          <w:kern w:val="0"/>
          <w:szCs w:val="21"/>
        </w:rPr>
        <w:t>胡忠权作为</w:t>
      </w:r>
      <w:proofErr w:type="gramEnd"/>
      <w:r w:rsidRPr="00C44B22">
        <w:rPr>
          <w:rFonts w:ascii="宋体" w:eastAsia="宋体" w:hAnsi="宋体" w:cs="宋体" w:hint="eastAsia"/>
          <w:color w:val="000000"/>
          <w:kern w:val="0"/>
          <w:szCs w:val="21"/>
        </w:rPr>
        <w:t>内幕信息知情人，在内幕信息公开前，使用本人和哥哥胡某凯证券账户交易“维格娜丝”的行为</w:t>
      </w:r>
      <w:r w:rsidRPr="00C44B22">
        <w:rPr>
          <w:rFonts w:ascii="宋体" w:eastAsia="宋体" w:hAnsi="宋体" w:cs="宋体" w:hint="eastAsia"/>
          <w:color w:val="000000"/>
          <w:kern w:val="0"/>
          <w:szCs w:val="21"/>
        </w:rPr>
        <w:lastRenderedPageBreak/>
        <w:t>违反《证券法》第七十三条、第七十六条第一款的规定，构成《证券法》第二百零二条所述的内幕交易行为。</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根据当事人违法行为的事实、性质、情节与社会危害程度，依据《证券法》第二百零二条的规定，我会决定：</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没收胡</w:t>
      </w:r>
      <w:proofErr w:type="gramStart"/>
      <w:r w:rsidRPr="00C44B22">
        <w:rPr>
          <w:rFonts w:ascii="宋体" w:eastAsia="宋体" w:hAnsi="宋体" w:cs="宋体" w:hint="eastAsia"/>
          <w:color w:val="000000"/>
          <w:kern w:val="0"/>
          <w:szCs w:val="21"/>
        </w:rPr>
        <w:t>忠权违法</w:t>
      </w:r>
      <w:proofErr w:type="gramEnd"/>
      <w:r w:rsidRPr="00C44B22">
        <w:rPr>
          <w:rFonts w:ascii="宋体" w:eastAsia="宋体" w:hAnsi="宋体" w:cs="宋体" w:hint="eastAsia"/>
          <w:color w:val="000000"/>
          <w:kern w:val="0"/>
          <w:szCs w:val="21"/>
        </w:rPr>
        <w:t>所得82,980.15元，并处以248,940.45元的罚款。</w:t>
      </w:r>
    </w:p>
    <w:p w:rsidR="00C44B22" w:rsidRPr="00C44B22" w:rsidRDefault="00C44B22" w:rsidP="00C44B22">
      <w:pPr>
        <w:widowControl/>
        <w:shd w:val="clear" w:color="auto" w:fill="FFFFFF"/>
        <w:spacing w:line="360" w:lineRule="atLeast"/>
        <w:ind w:firstLine="420"/>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C44B22">
        <w:rPr>
          <w:rFonts w:ascii="宋体" w:eastAsia="宋体" w:hAnsi="宋体" w:cs="宋体" w:hint="eastAsia"/>
          <w:color w:val="000000"/>
          <w:kern w:val="0"/>
          <w:szCs w:val="21"/>
        </w:rPr>
        <w:t>汇缴专户</w:t>
      </w:r>
      <w:proofErr w:type="gramEnd"/>
      <w:r w:rsidRPr="00C44B22">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xml:space="preserve">中国证监会　　</w:t>
      </w:r>
      <w:proofErr w:type="gramStart"/>
      <w:r w:rsidRPr="00C44B22">
        <w:rPr>
          <w:rFonts w:ascii="宋体" w:eastAsia="宋体" w:hAnsi="宋体" w:cs="宋体" w:hint="eastAsia"/>
          <w:color w:val="000000"/>
          <w:kern w:val="0"/>
          <w:szCs w:val="21"/>
        </w:rPr>
        <w:t xml:space="preserve">　</w:t>
      </w:r>
      <w:proofErr w:type="gramEnd"/>
      <w:r w:rsidRPr="00C44B22">
        <w:rPr>
          <w:rFonts w:ascii="宋体" w:eastAsia="宋体" w:hAnsi="宋体" w:cs="宋体" w:hint="eastAsia"/>
          <w:color w:val="000000"/>
          <w:kern w:val="0"/>
          <w:szCs w:val="21"/>
        </w:rPr>
        <w:t xml:space="preserve"> 　　</w:t>
      </w:r>
    </w:p>
    <w:p w:rsidR="00C44B22" w:rsidRPr="00C44B22" w:rsidRDefault="00C44B22" w:rsidP="00C44B2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xml:space="preserve">2018年8月20日　　</w:t>
      </w:r>
      <w:proofErr w:type="gramStart"/>
      <w:r w:rsidRPr="00C44B22">
        <w:rPr>
          <w:rFonts w:ascii="宋体" w:eastAsia="宋体" w:hAnsi="宋体" w:cs="宋体" w:hint="eastAsia"/>
          <w:color w:val="000000"/>
          <w:kern w:val="0"/>
          <w:szCs w:val="21"/>
        </w:rPr>
        <w:t xml:space="preserve">　　</w:t>
      </w:r>
      <w:proofErr w:type="gramEnd"/>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spacing w:line="360" w:lineRule="atLeast"/>
        <w:jc w:val="left"/>
        <w:rPr>
          <w:rFonts w:ascii="楷体" w:eastAsia="楷体" w:hAnsi="楷体" w:cs="宋体" w:hint="eastAsia"/>
          <w:color w:val="000000"/>
          <w:kern w:val="0"/>
          <w:sz w:val="24"/>
          <w:szCs w:val="24"/>
        </w:rPr>
      </w:pPr>
      <w:r w:rsidRPr="00C44B22">
        <w:rPr>
          <w:rFonts w:ascii="宋体" w:eastAsia="宋体" w:hAnsi="宋体" w:cs="宋体" w:hint="eastAsia"/>
          <w:color w:val="000000"/>
          <w:kern w:val="0"/>
          <w:szCs w:val="21"/>
        </w:rPr>
        <w:t> </w:t>
      </w:r>
    </w:p>
    <w:p w:rsidR="00C44B22" w:rsidRPr="00C44B22" w:rsidRDefault="00C44B22" w:rsidP="00C44B2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44B22" w:rsidRPr="00C44B22" w:rsidTr="00C44B22">
        <w:trPr>
          <w:tblCellSpacing w:w="15" w:type="dxa"/>
          <w:jc w:val="center"/>
        </w:trPr>
        <w:tc>
          <w:tcPr>
            <w:tcW w:w="900" w:type="dxa"/>
            <w:vAlign w:val="center"/>
            <w:hideMark/>
          </w:tcPr>
          <w:p w:rsidR="00C44B22" w:rsidRPr="00C44B22" w:rsidRDefault="00C44B22" w:rsidP="00C44B22">
            <w:pPr>
              <w:widowControl/>
              <w:jc w:val="left"/>
              <w:rPr>
                <w:rFonts w:ascii="宋体" w:eastAsia="宋体" w:hAnsi="宋体" w:cs="宋体" w:hint="eastAsia"/>
                <w:kern w:val="0"/>
                <w:sz w:val="18"/>
                <w:szCs w:val="18"/>
              </w:rPr>
            </w:pPr>
            <w:r w:rsidRPr="00C44B22">
              <w:rPr>
                <w:rFonts w:ascii="宋体" w:eastAsia="宋体" w:hAnsi="宋体" w:cs="宋体"/>
                <w:kern w:val="0"/>
                <w:sz w:val="18"/>
                <w:szCs w:val="18"/>
              </w:rPr>
              <w:t> </w:t>
            </w:r>
          </w:p>
        </w:tc>
        <w:tc>
          <w:tcPr>
            <w:tcW w:w="1200" w:type="dxa"/>
            <w:vAlign w:val="center"/>
            <w:hideMark/>
          </w:tcPr>
          <w:p w:rsidR="00C44B22" w:rsidRPr="00C44B22" w:rsidRDefault="00C44B22" w:rsidP="00C44B22">
            <w:pPr>
              <w:widowControl/>
              <w:jc w:val="left"/>
              <w:rPr>
                <w:rFonts w:ascii="宋体" w:eastAsia="宋体" w:hAnsi="宋体" w:cs="宋体"/>
                <w:kern w:val="0"/>
                <w:sz w:val="18"/>
                <w:szCs w:val="18"/>
              </w:rPr>
            </w:pPr>
            <w:r w:rsidRPr="00C44B2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44B22" w:rsidRPr="00C44B22" w:rsidRDefault="00C44B22" w:rsidP="00C44B22">
            <w:pPr>
              <w:widowControl/>
              <w:jc w:val="left"/>
              <w:rPr>
                <w:rFonts w:ascii="宋体" w:eastAsia="宋体" w:hAnsi="宋体" w:cs="宋体"/>
                <w:kern w:val="0"/>
                <w:sz w:val="18"/>
                <w:szCs w:val="18"/>
              </w:rPr>
            </w:pPr>
            <w:r w:rsidRPr="00C44B2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44B22" w:rsidRPr="00C44B22" w:rsidRDefault="00C44B22" w:rsidP="00C44B22">
            <w:pPr>
              <w:widowControl/>
              <w:jc w:val="left"/>
              <w:rPr>
                <w:rFonts w:ascii="宋体" w:eastAsia="宋体" w:hAnsi="宋体" w:cs="宋体"/>
                <w:kern w:val="0"/>
                <w:sz w:val="18"/>
                <w:szCs w:val="18"/>
              </w:rPr>
            </w:pPr>
            <w:r w:rsidRPr="00C44B2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44B22" w:rsidRPr="00C44B22" w:rsidRDefault="00C44B22" w:rsidP="00C44B22">
      <w:pPr>
        <w:widowControl/>
        <w:jc w:val="center"/>
        <w:rPr>
          <w:rFonts w:ascii="微软雅黑" w:eastAsia="微软雅黑" w:hAnsi="微软雅黑" w:cs="宋体"/>
          <w:color w:val="515151"/>
          <w:kern w:val="0"/>
          <w:sz w:val="18"/>
          <w:szCs w:val="18"/>
        </w:rPr>
      </w:pPr>
      <w:hyperlink r:id="rId11" w:tgtFrame="_blank" w:history="1">
        <w:r w:rsidRPr="00C44B22">
          <w:rPr>
            <w:rFonts w:ascii="微软雅黑" w:eastAsia="微软雅黑" w:hAnsi="微软雅黑" w:cs="宋体" w:hint="eastAsia"/>
            <w:color w:val="0000FF"/>
            <w:kern w:val="0"/>
            <w:sz w:val="18"/>
            <w:szCs w:val="18"/>
            <w:u w:val="single"/>
          </w:rPr>
          <w:t>关于我们</w:t>
        </w:r>
      </w:hyperlink>
      <w:r w:rsidRPr="00C44B22">
        <w:rPr>
          <w:rFonts w:ascii="微软雅黑" w:eastAsia="微软雅黑" w:hAnsi="微软雅黑" w:cs="宋体" w:hint="eastAsia"/>
          <w:color w:val="515151"/>
          <w:kern w:val="0"/>
          <w:sz w:val="18"/>
          <w:szCs w:val="18"/>
        </w:rPr>
        <w:t> - </w:t>
      </w:r>
      <w:hyperlink r:id="rId12" w:tgtFrame="_blank" w:history="1">
        <w:r w:rsidRPr="00C44B22">
          <w:rPr>
            <w:rFonts w:ascii="微软雅黑" w:eastAsia="微软雅黑" w:hAnsi="微软雅黑" w:cs="宋体" w:hint="eastAsia"/>
            <w:color w:val="0000FF"/>
            <w:kern w:val="0"/>
            <w:sz w:val="18"/>
            <w:szCs w:val="18"/>
            <w:u w:val="single"/>
          </w:rPr>
          <w:t>法律声明</w:t>
        </w:r>
      </w:hyperlink>
      <w:r w:rsidRPr="00C44B22">
        <w:rPr>
          <w:rFonts w:ascii="微软雅黑" w:eastAsia="微软雅黑" w:hAnsi="微软雅黑" w:cs="宋体" w:hint="eastAsia"/>
          <w:color w:val="515151"/>
          <w:kern w:val="0"/>
          <w:sz w:val="18"/>
          <w:szCs w:val="18"/>
        </w:rPr>
        <w:t> - </w:t>
      </w:r>
      <w:hyperlink r:id="rId13" w:tgtFrame="_blank" w:history="1">
        <w:r w:rsidRPr="00C44B22">
          <w:rPr>
            <w:rFonts w:ascii="微软雅黑" w:eastAsia="微软雅黑" w:hAnsi="微软雅黑" w:cs="宋体" w:hint="eastAsia"/>
            <w:color w:val="0000FF"/>
            <w:kern w:val="0"/>
            <w:sz w:val="18"/>
            <w:szCs w:val="18"/>
            <w:u w:val="single"/>
          </w:rPr>
          <w:t>联系我们</w:t>
        </w:r>
      </w:hyperlink>
    </w:p>
    <w:p w:rsidR="00C44B22" w:rsidRPr="00C44B22" w:rsidRDefault="00C44B22" w:rsidP="00C44B22">
      <w:pPr>
        <w:widowControl/>
        <w:jc w:val="center"/>
        <w:rPr>
          <w:rFonts w:ascii="微软雅黑" w:eastAsia="微软雅黑" w:hAnsi="微软雅黑" w:cs="宋体" w:hint="eastAsia"/>
          <w:color w:val="515151"/>
          <w:kern w:val="0"/>
          <w:sz w:val="18"/>
          <w:szCs w:val="18"/>
        </w:rPr>
      </w:pPr>
      <w:r w:rsidRPr="00C44B22">
        <w:rPr>
          <w:rFonts w:ascii="微软雅黑" w:eastAsia="微软雅黑" w:hAnsi="微软雅黑" w:cs="宋体" w:hint="eastAsia"/>
          <w:color w:val="515151"/>
          <w:kern w:val="0"/>
          <w:sz w:val="18"/>
          <w:szCs w:val="18"/>
        </w:rPr>
        <w:t>版权所有：中国证券监督管理委员会 京ICP备 05035542号</w:t>
      </w:r>
    </w:p>
    <w:p w:rsidR="00C44B22" w:rsidRPr="00C44B22" w:rsidRDefault="00C44B22" w:rsidP="00C44B22">
      <w:pPr>
        <w:widowControl/>
        <w:jc w:val="center"/>
        <w:rPr>
          <w:rFonts w:ascii="微软雅黑" w:eastAsia="微软雅黑" w:hAnsi="微软雅黑" w:cs="宋体" w:hint="eastAsia"/>
          <w:color w:val="515151"/>
          <w:kern w:val="0"/>
          <w:sz w:val="18"/>
          <w:szCs w:val="18"/>
        </w:rPr>
      </w:pPr>
      <w:r w:rsidRPr="00C44B22">
        <w:rPr>
          <w:rFonts w:ascii="微软雅黑" w:eastAsia="微软雅黑" w:hAnsi="微软雅黑" w:cs="宋体" w:hint="eastAsia"/>
          <w:color w:val="515151"/>
          <w:kern w:val="0"/>
          <w:sz w:val="18"/>
          <w:szCs w:val="18"/>
        </w:rPr>
        <w:t>地址：北京市西城区金融大街19号富凯大厦A座 邮编：100033</w:t>
      </w:r>
    </w:p>
    <w:p w:rsidR="00C44B22" w:rsidRPr="00C44B22" w:rsidRDefault="00C44B22" w:rsidP="00C44B22">
      <w:pPr>
        <w:widowControl/>
        <w:jc w:val="center"/>
        <w:rPr>
          <w:rFonts w:ascii="微软雅黑" w:eastAsia="微软雅黑" w:hAnsi="微软雅黑" w:cs="宋体" w:hint="eastAsia"/>
          <w:color w:val="515151"/>
          <w:kern w:val="0"/>
          <w:sz w:val="18"/>
          <w:szCs w:val="18"/>
        </w:rPr>
      </w:pPr>
      <w:r w:rsidRPr="00C44B22">
        <w:rPr>
          <w:rFonts w:ascii="微软雅黑" w:eastAsia="微软雅黑" w:hAnsi="微软雅黑" w:cs="宋体" w:hint="eastAsia"/>
          <w:color w:val="515151"/>
          <w:kern w:val="0"/>
          <w:sz w:val="18"/>
          <w:szCs w:val="18"/>
        </w:rPr>
        <w:t>建议使用IE5.5以上浏览器，分辨率1024*768</w:t>
      </w:r>
    </w:p>
    <w:p w:rsidR="00A55C11" w:rsidRPr="00C44B22" w:rsidRDefault="00A55C11"/>
    <w:sectPr w:rsidR="00A55C11" w:rsidRPr="00C44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22"/>
    <w:rsid w:val="00A55C11"/>
    <w:rsid w:val="00C4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A2D21-F505-4FF5-B0D8-0E144703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B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4B22"/>
    <w:rPr>
      <w:b/>
      <w:bCs/>
    </w:rPr>
  </w:style>
  <w:style w:type="paragraph" w:customStyle="1" w:styleId="p0">
    <w:name w:val="p0"/>
    <w:basedOn w:val="a"/>
    <w:rsid w:val="00C44B22"/>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C44B2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44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914">
      <w:bodyDiv w:val="1"/>
      <w:marLeft w:val="0"/>
      <w:marRight w:val="0"/>
      <w:marTop w:val="0"/>
      <w:marBottom w:val="0"/>
      <w:divBdr>
        <w:top w:val="none" w:sz="0" w:space="0" w:color="auto"/>
        <w:left w:val="none" w:sz="0" w:space="0" w:color="auto"/>
        <w:bottom w:val="none" w:sz="0" w:space="0" w:color="auto"/>
        <w:right w:val="none" w:sz="0" w:space="0" w:color="auto"/>
      </w:divBdr>
      <w:divsChild>
        <w:div w:id="1445034865">
          <w:marLeft w:val="0"/>
          <w:marRight w:val="0"/>
          <w:marTop w:val="150"/>
          <w:marBottom w:val="150"/>
          <w:divBdr>
            <w:top w:val="none" w:sz="0" w:space="0" w:color="auto"/>
            <w:left w:val="none" w:sz="0" w:space="0" w:color="auto"/>
            <w:bottom w:val="none" w:sz="0" w:space="0" w:color="auto"/>
            <w:right w:val="none" w:sz="0" w:space="0" w:color="auto"/>
          </w:divBdr>
        </w:div>
        <w:div w:id="1100488450">
          <w:marLeft w:val="0"/>
          <w:marRight w:val="0"/>
          <w:marTop w:val="0"/>
          <w:marBottom w:val="0"/>
          <w:divBdr>
            <w:top w:val="single" w:sz="6" w:space="8" w:color="B5B5B5"/>
            <w:left w:val="single" w:sz="6" w:space="0" w:color="B5B5B5"/>
            <w:bottom w:val="single" w:sz="6" w:space="8" w:color="B5B5B5"/>
            <w:right w:val="single" w:sz="6" w:space="0" w:color="B5B5B5"/>
          </w:divBdr>
          <w:divsChild>
            <w:div w:id="1201893639">
              <w:marLeft w:val="0"/>
              <w:marRight w:val="0"/>
              <w:marTop w:val="0"/>
              <w:marBottom w:val="0"/>
              <w:divBdr>
                <w:top w:val="none" w:sz="0" w:space="0" w:color="auto"/>
                <w:left w:val="none" w:sz="0" w:space="0" w:color="auto"/>
                <w:bottom w:val="none" w:sz="0" w:space="0" w:color="auto"/>
                <w:right w:val="none" w:sz="0" w:space="0" w:color="auto"/>
              </w:divBdr>
            </w:div>
            <w:div w:id="1265579271">
              <w:marLeft w:val="0"/>
              <w:marRight w:val="0"/>
              <w:marTop w:val="0"/>
              <w:marBottom w:val="0"/>
              <w:divBdr>
                <w:top w:val="none" w:sz="0" w:space="0" w:color="auto"/>
                <w:left w:val="none" w:sz="0" w:space="0" w:color="auto"/>
                <w:bottom w:val="none" w:sz="0" w:space="0" w:color="auto"/>
                <w:right w:val="none" w:sz="0" w:space="0" w:color="auto"/>
              </w:divBdr>
            </w:div>
            <w:div w:id="285283217">
              <w:marLeft w:val="0"/>
              <w:marRight w:val="0"/>
              <w:marTop w:val="120"/>
              <w:marBottom w:val="120"/>
              <w:divBdr>
                <w:top w:val="none" w:sz="0" w:space="0" w:color="auto"/>
                <w:left w:val="none" w:sz="0" w:space="0" w:color="auto"/>
                <w:bottom w:val="none" w:sz="0" w:space="0" w:color="auto"/>
                <w:right w:val="none" w:sz="0" w:space="0" w:color="auto"/>
              </w:divBdr>
            </w:div>
          </w:divsChild>
        </w:div>
        <w:div w:id="776565637">
          <w:marLeft w:val="0"/>
          <w:marRight w:val="0"/>
          <w:marTop w:val="120"/>
          <w:marBottom w:val="0"/>
          <w:divBdr>
            <w:top w:val="none" w:sz="0" w:space="0" w:color="auto"/>
            <w:left w:val="none" w:sz="0" w:space="0" w:color="auto"/>
            <w:bottom w:val="none" w:sz="0" w:space="0" w:color="auto"/>
            <w:right w:val="none" w:sz="0" w:space="0" w:color="auto"/>
          </w:divBdr>
          <w:divsChild>
            <w:div w:id="778645063">
              <w:marLeft w:val="0"/>
              <w:marRight w:val="0"/>
              <w:marTop w:val="60"/>
              <w:marBottom w:val="0"/>
              <w:divBdr>
                <w:top w:val="none" w:sz="0" w:space="0" w:color="auto"/>
                <w:left w:val="none" w:sz="0" w:space="0" w:color="auto"/>
                <w:bottom w:val="none" w:sz="0" w:space="0" w:color="auto"/>
                <w:right w:val="none" w:sz="0" w:space="0" w:color="auto"/>
              </w:divBdr>
            </w:div>
            <w:div w:id="2088189217">
              <w:marLeft w:val="0"/>
              <w:marRight w:val="0"/>
              <w:marTop w:val="60"/>
              <w:marBottom w:val="0"/>
              <w:divBdr>
                <w:top w:val="none" w:sz="0" w:space="0" w:color="auto"/>
                <w:left w:val="none" w:sz="0" w:space="0" w:color="auto"/>
                <w:bottom w:val="none" w:sz="0" w:space="0" w:color="auto"/>
                <w:right w:val="none" w:sz="0" w:space="0" w:color="auto"/>
              </w:divBdr>
            </w:div>
            <w:div w:id="1085800819">
              <w:marLeft w:val="0"/>
              <w:marRight w:val="0"/>
              <w:marTop w:val="60"/>
              <w:marBottom w:val="0"/>
              <w:divBdr>
                <w:top w:val="none" w:sz="0" w:space="0" w:color="auto"/>
                <w:left w:val="none" w:sz="0" w:space="0" w:color="auto"/>
                <w:bottom w:val="none" w:sz="0" w:space="0" w:color="auto"/>
                <w:right w:val="none" w:sz="0" w:space="0" w:color="auto"/>
              </w:divBdr>
            </w:div>
            <w:div w:id="4589143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24_34302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2020-02-15T11:54:00Z</dcterms:created>
  <dcterms:modified xsi:type="dcterms:W3CDTF">2020-02-15T11:54:00Z</dcterms:modified>
</cp:coreProperties>
</file>