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36C" w:rsidRPr="00D6036C" w:rsidRDefault="00D6036C" w:rsidP="00D6036C">
      <w:pPr>
        <w:widowControl/>
        <w:jc w:val="center"/>
        <w:rPr>
          <w:rFonts w:ascii="微软雅黑" w:eastAsia="微软雅黑" w:hAnsi="微软雅黑" w:cs="宋体"/>
          <w:color w:val="000000"/>
          <w:kern w:val="0"/>
          <w:sz w:val="18"/>
          <w:szCs w:val="18"/>
        </w:rPr>
      </w:pPr>
      <w:r w:rsidRPr="00D6036C">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D6036C" w:rsidRPr="00D6036C" w:rsidTr="00D6036C">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6036C" w:rsidRPr="00D6036C">
              <w:trPr>
                <w:tblCellSpacing w:w="0" w:type="dxa"/>
              </w:trPr>
              <w:tc>
                <w:tcPr>
                  <w:tcW w:w="2500" w:type="pct"/>
                  <w:tcMar>
                    <w:top w:w="30" w:type="dxa"/>
                    <w:left w:w="30" w:type="dxa"/>
                    <w:bottom w:w="30" w:type="dxa"/>
                    <w:right w:w="30" w:type="dxa"/>
                  </w:tcMar>
                  <w:hideMark/>
                </w:tcPr>
                <w:p w:rsidR="00D6036C" w:rsidRPr="00D6036C" w:rsidRDefault="00D6036C" w:rsidP="00D6036C">
                  <w:pPr>
                    <w:widowControl/>
                    <w:jc w:val="left"/>
                    <w:rPr>
                      <w:rFonts w:ascii="宋体" w:eastAsia="宋体" w:hAnsi="宋体" w:cs="宋体" w:hint="eastAsia"/>
                      <w:color w:val="686868"/>
                      <w:kern w:val="0"/>
                      <w:sz w:val="18"/>
                      <w:szCs w:val="18"/>
                    </w:rPr>
                  </w:pPr>
                  <w:r w:rsidRPr="00D6036C">
                    <w:rPr>
                      <w:rFonts w:ascii="宋体" w:eastAsia="宋体" w:hAnsi="宋体" w:cs="宋体"/>
                      <w:b/>
                      <w:bCs/>
                      <w:color w:val="686868"/>
                      <w:kern w:val="0"/>
                      <w:sz w:val="18"/>
                      <w:szCs w:val="18"/>
                    </w:rPr>
                    <w:t>索 引 号:</w:t>
                  </w:r>
                  <w:r w:rsidRPr="00D6036C">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D6036C" w:rsidRPr="00D6036C" w:rsidRDefault="00D6036C" w:rsidP="00D6036C">
                  <w:pPr>
                    <w:widowControl/>
                    <w:jc w:val="left"/>
                    <w:rPr>
                      <w:rFonts w:ascii="宋体" w:eastAsia="宋体" w:hAnsi="宋体" w:cs="宋体"/>
                      <w:color w:val="686868"/>
                      <w:kern w:val="0"/>
                      <w:sz w:val="18"/>
                      <w:szCs w:val="18"/>
                    </w:rPr>
                  </w:pPr>
                  <w:r w:rsidRPr="00D6036C">
                    <w:rPr>
                      <w:rFonts w:ascii="宋体" w:eastAsia="宋体" w:hAnsi="宋体" w:cs="宋体"/>
                      <w:b/>
                      <w:bCs/>
                      <w:color w:val="686868"/>
                      <w:kern w:val="0"/>
                      <w:sz w:val="18"/>
                      <w:szCs w:val="18"/>
                    </w:rPr>
                    <w:t>分类:</w:t>
                  </w:r>
                  <w:r w:rsidRPr="00D6036C">
                    <w:rPr>
                      <w:rFonts w:ascii="宋体" w:eastAsia="宋体" w:hAnsi="宋体" w:cs="宋体"/>
                      <w:color w:val="686868"/>
                      <w:kern w:val="0"/>
                      <w:sz w:val="18"/>
                      <w:szCs w:val="18"/>
                    </w:rPr>
                    <w:t> 行政处罚 ; 行政处罚决定</w:t>
                  </w:r>
                </w:p>
              </w:tc>
            </w:tr>
          </w:tbl>
          <w:p w:rsidR="00D6036C" w:rsidRPr="00D6036C" w:rsidRDefault="00D6036C" w:rsidP="00D6036C">
            <w:pPr>
              <w:widowControl/>
              <w:jc w:val="left"/>
              <w:rPr>
                <w:rFonts w:ascii="宋体" w:eastAsia="宋体" w:hAnsi="宋体" w:cs="宋体"/>
                <w:color w:val="686868"/>
                <w:kern w:val="0"/>
                <w:sz w:val="18"/>
                <w:szCs w:val="18"/>
              </w:rPr>
            </w:pPr>
          </w:p>
        </w:tc>
      </w:tr>
      <w:tr w:rsidR="00D6036C" w:rsidRPr="00D6036C" w:rsidTr="00D6036C">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6036C" w:rsidRPr="00D6036C">
              <w:trPr>
                <w:tblCellSpacing w:w="0" w:type="dxa"/>
              </w:trPr>
              <w:tc>
                <w:tcPr>
                  <w:tcW w:w="2500" w:type="pct"/>
                  <w:tcMar>
                    <w:top w:w="30" w:type="dxa"/>
                    <w:left w:w="30" w:type="dxa"/>
                    <w:bottom w:w="30" w:type="dxa"/>
                    <w:right w:w="30" w:type="dxa"/>
                  </w:tcMar>
                  <w:hideMark/>
                </w:tcPr>
                <w:p w:rsidR="00D6036C" w:rsidRPr="00D6036C" w:rsidRDefault="00D6036C" w:rsidP="00D6036C">
                  <w:pPr>
                    <w:widowControl/>
                    <w:jc w:val="left"/>
                    <w:rPr>
                      <w:rFonts w:ascii="宋体" w:eastAsia="宋体" w:hAnsi="宋体" w:cs="宋体"/>
                      <w:color w:val="686868"/>
                      <w:kern w:val="0"/>
                      <w:sz w:val="18"/>
                      <w:szCs w:val="18"/>
                    </w:rPr>
                  </w:pPr>
                  <w:r w:rsidRPr="00D6036C">
                    <w:rPr>
                      <w:rFonts w:ascii="宋体" w:eastAsia="宋体" w:hAnsi="宋体" w:cs="宋体"/>
                      <w:b/>
                      <w:bCs/>
                      <w:color w:val="686868"/>
                      <w:kern w:val="0"/>
                      <w:sz w:val="18"/>
                      <w:szCs w:val="18"/>
                    </w:rPr>
                    <w:t>发布机构:</w:t>
                  </w:r>
                  <w:r w:rsidRPr="00D6036C">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D6036C" w:rsidRPr="00D6036C" w:rsidRDefault="00D6036C" w:rsidP="00D6036C">
                  <w:pPr>
                    <w:widowControl/>
                    <w:jc w:val="left"/>
                    <w:rPr>
                      <w:rFonts w:ascii="宋体" w:eastAsia="宋体" w:hAnsi="宋体" w:cs="宋体"/>
                      <w:color w:val="686868"/>
                      <w:kern w:val="0"/>
                      <w:sz w:val="18"/>
                      <w:szCs w:val="18"/>
                    </w:rPr>
                  </w:pPr>
                  <w:r w:rsidRPr="00D6036C">
                    <w:rPr>
                      <w:rFonts w:ascii="宋体" w:eastAsia="宋体" w:hAnsi="宋体" w:cs="宋体"/>
                      <w:b/>
                      <w:bCs/>
                      <w:color w:val="686868"/>
                      <w:kern w:val="0"/>
                      <w:sz w:val="18"/>
                      <w:szCs w:val="18"/>
                    </w:rPr>
                    <w:t>发文日期:</w:t>
                  </w:r>
                  <w:r w:rsidRPr="00D6036C">
                    <w:rPr>
                      <w:rFonts w:ascii="宋体" w:eastAsia="宋体" w:hAnsi="宋体" w:cs="宋体"/>
                      <w:color w:val="686868"/>
                      <w:kern w:val="0"/>
                      <w:sz w:val="18"/>
                      <w:szCs w:val="18"/>
                    </w:rPr>
                    <w:t> 2018年08月20日</w:t>
                  </w:r>
                </w:p>
              </w:tc>
            </w:tr>
          </w:tbl>
          <w:p w:rsidR="00D6036C" w:rsidRPr="00D6036C" w:rsidRDefault="00D6036C" w:rsidP="00D6036C">
            <w:pPr>
              <w:widowControl/>
              <w:jc w:val="left"/>
              <w:rPr>
                <w:rFonts w:ascii="宋体" w:eastAsia="宋体" w:hAnsi="宋体" w:cs="宋体"/>
                <w:color w:val="686868"/>
                <w:kern w:val="0"/>
                <w:sz w:val="18"/>
                <w:szCs w:val="18"/>
              </w:rPr>
            </w:pPr>
          </w:p>
        </w:tc>
      </w:tr>
      <w:tr w:rsidR="00D6036C" w:rsidRPr="00D6036C" w:rsidTr="00D6036C">
        <w:trPr>
          <w:tblCellSpacing w:w="0" w:type="dxa"/>
        </w:trPr>
        <w:tc>
          <w:tcPr>
            <w:tcW w:w="0" w:type="auto"/>
            <w:tcMar>
              <w:top w:w="30" w:type="dxa"/>
              <w:left w:w="30" w:type="dxa"/>
              <w:bottom w:w="30" w:type="dxa"/>
              <w:right w:w="30" w:type="dxa"/>
            </w:tcMar>
            <w:hideMark/>
          </w:tcPr>
          <w:p w:rsidR="00D6036C" w:rsidRPr="00D6036C" w:rsidRDefault="00D6036C" w:rsidP="00D6036C">
            <w:pPr>
              <w:widowControl/>
              <w:jc w:val="left"/>
              <w:rPr>
                <w:rFonts w:ascii="宋体" w:eastAsia="宋体" w:hAnsi="宋体" w:cs="宋体"/>
                <w:color w:val="686868"/>
                <w:kern w:val="0"/>
                <w:sz w:val="18"/>
                <w:szCs w:val="18"/>
              </w:rPr>
            </w:pPr>
            <w:r w:rsidRPr="00D6036C">
              <w:rPr>
                <w:rFonts w:ascii="宋体" w:eastAsia="宋体" w:hAnsi="宋体" w:cs="宋体"/>
                <w:b/>
                <w:bCs/>
                <w:color w:val="686868"/>
                <w:kern w:val="0"/>
                <w:sz w:val="18"/>
                <w:szCs w:val="18"/>
              </w:rPr>
              <w:t>名　　称:</w:t>
            </w:r>
            <w:r w:rsidRPr="00D6036C">
              <w:rPr>
                <w:rFonts w:ascii="宋体" w:eastAsia="宋体" w:hAnsi="宋体" w:cs="宋体"/>
                <w:color w:val="686868"/>
                <w:kern w:val="0"/>
                <w:sz w:val="18"/>
                <w:szCs w:val="18"/>
              </w:rPr>
              <w:t> 中国证监会行政处罚决定书（于洪瑞、王风雷）</w:t>
            </w:r>
          </w:p>
        </w:tc>
      </w:tr>
      <w:tr w:rsidR="00D6036C" w:rsidRPr="00D6036C" w:rsidTr="00D6036C">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6036C" w:rsidRPr="00D6036C">
              <w:trPr>
                <w:tblCellSpacing w:w="0" w:type="dxa"/>
              </w:trPr>
              <w:tc>
                <w:tcPr>
                  <w:tcW w:w="2500" w:type="pct"/>
                  <w:tcMar>
                    <w:top w:w="30" w:type="dxa"/>
                    <w:left w:w="30" w:type="dxa"/>
                    <w:bottom w:w="30" w:type="dxa"/>
                    <w:right w:w="30" w:type="dxa"/>
                  </w:tcMar>
                  <w:hideMark/>
                </w:tcPr>
                <w:p w:rsidR="00D6036C" w:rsidRPr="00D6036C" w:rsidRDefault="00D6036C" w:rsidP="00D6036C">
                  <w:pPr>
                    <w:widowControl/>
                    <w:jc w:val="left"/>
                    <w:rPr>
                      <w:rFonts w:ascii="宋体" w:eastAsia="宋体" w:hAnsi="宋体" w:cs="宋体"/>
                      <w:color w:val="686868"/>
                      <w:kern w:val="0"/>
                      <w:sz w:val="18"/>
                      <w:szCs w:val="18"/>
                    </w:rPr>
                  </w:pPr>
                  <w:r w:rsidRPr="00D6036C">
                    <w:rPr>
                      <w:rFonts w:ascii="宋体" w:eastAsia="宋体" w:hAnsi="宋体" w:cs="宋体"/>
                      <w:b/>
                      <w:bCs/>
                      <w:color w:val="686868"/>
                      <w:kern w:val="0"/>
                      <w:sz w:val="18"/>
                      <w:szCs w:val="18"/>
                    </w:rPr>
                    <w:t>文　　号:</w:t>
                  </w:r>
                  <w:r w:rsidRPr="00D6036C">
                    <w:rPr>
                      <w:rFonts w:ascii="宋体" w:eastAsia="宋体" w:hAnsi="宋体" w:cs="宋体"/>
                      <w:color w:val="686868"/>
                      <w:kern w:val="0"/>
                      <w:sz w:val="18"/>
                      <w:szCs w:val="18"/>
                    </w:rPr>
                    <w:t> 〔2018〕86号</w:t>
                  </w:r>
                </w:p>
              </w:tc>
              <w:tc>
                <w:tcPr>
                  <w:tcW w:w="0" w:type="auto"/>
                  <w:tcMar>
                    <w:top w:w="30" w:type="dxa"/>
                    <w:left w:w="30" w:type="dxa"/>
                    <w:bottom w:w="30" w:type="dxa"/>
                    <w:right w:w="30" w:type="dxa"/>
                  </w:tcMar>
                  <w:hideMark/>
                </w:tcPr>
                <w:p w:rsidR="00D6036C" w:rsidRPr="00D6036C" w:rsidRDefault="00D6036C" w:rsidP="00D6036C">
                  <w:pPr>
                    <w:widowControl/>
                    <w:jc w:val="left"/>
                    <w:rPr>
                      <w:rFonts w:ascii="宋体" w:eastAsia="宋体" w:hAnsi="宋体" w:cs="宋体"/>
                      <w:color w:val="686868"/>
                      <w:kern w:val="0"/>
                      <w:sz w:val="18"/>
                      <w:szCs w:val="18"/>
                    </w:rPr>
                  </w:pPr>
                  <w:r w:rsidRPr="00D6036C">
                    <w:rPr>
                      <w:rFonts w:ascii="宋体" w:eastAsia="宋体" w:hAnsi="宋体" w:cs="宋体"/>
                      <w:b/>
                      <w:bCs/>
                      <w:color w:val="686868"/>
                      <w:kern w:val="0"/>
                      <w:sz w:val="18"/>
                      <w:szCs w:val="18"/>
                    </w:rPr>
                    <w:t>主 题 词:</w:t>
                  </w:r>
                </w:p>
              </w:tc>
            </w:tr>
          </w:tbl>
          <w:p w:rsidR="00D6036C" w:rsidRPr="00D6036C" w:rsidRDefault="00D6036C" w:rsidP="00D6036C">
            <w:pPr>
              <w:widowControl/>
              <w:jc w:val="left"/>
              <w:rPr>
                <w:rFonts w:ascii="宋体" w:eastAsia="宋体" w:hAnsi="宋体" w:cs="宋体"/>
                <w:color w:val="686868"/>
                <w:kern w:val="0"/>
                <w:sz w:val="18"/>
                <w:szCs w:val="18"/>
              </w:rPr>
            </w:pPr>
          </w:p>
        </w:tc>
      </w:tr>
    </w:tbl>
    <w:p w:rsidR="00D6036C" w:rsidRPr="00D6036C" w:rsidRDefault="00D6036C" w:rsidP="00D6036C">
      <w:pPr>
        <w:widowControl/>
        <w:jc w:val="center"/>
        <w:rPr>
          <w:rFonts w:ascii="微软雅黑" w:eastAsia="微软雅黑" w:hAnsi="微软雅黑" w:cs="宋体"/>
          <w:color w:val="000000"/>
          <w:kern w:val="0"/>
          <w:sz w:val="18"/>
          <w:szCs w:val="18"/>
        </w:rPr>
      </w:pPr>
      <w:r w:rsidRPr="00D6036C">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D6036C" w:rsidRPr="00D6036C" w:rsidRDefault="00D6036C" w:rsidP="00D6036C">
      <w:pPr>
        <w:widowControl/>
        <w:shd w:val="clear" w:color="auto" w:fill="FFFFFF"/>
        <w:spacing w:after="240"/>
        <w:jc w:val="center"/>
        <w:rPr>
          <w:rFonts w:ascii="微软雅黑" w:eastAsia="微软雅黑" w:hAnsi="微软雅黑" w:cs="宋体" w:hint="eastAsia"/>
          <w:color w:val="000000"/>
          <w:kern w:val="0"/>
          <w:sz w:val="18"/>
          <w:szCs w:val="18"/>
        </w:rPr>
      </w:pPr>
      <w:r w:rsidRPr="00D6036C">
        <w:rPr>
          <w:rFonts w:ascii="微软雅黑" w:eastAsia="微软雅黑" w:hAnsi="微软雅黑" w:cs="宋体" w:hint="eastAsia"/>
          <w:color w:val="000000"/>
          <w:kern w:val="0"/>
          <w:sz w:val="18"/>
          <w:szCs w:val="18"/>
        </w:rPr>
        <w:br/>
      </w:r>
      <w:r w:rsidRPr="00D6036C">
        <w:rPr>
          <w:rFonts w:ascii="黑体" w:eastAsia="黑体" w:hAnsi="黑体" w:cs="宋体" w:hint="eastAsia"/>
          <w:b/>
          <w:bCs/>
          <w:color w:val="FF0000"/>
          <w:kern w:val="0"/>
          <w:sz w:val="36"/>
          <w:szCs w:val="36"/>
        </w:rPr>
        <w:t>中国证监会行政处罚决定书（于洪瑞、王风雷）</w:t>
      </w:r>
    </w:p>
    <w:p w:rsidR="00D6036C" w:rsidRPr="00D6036C" w:rsidRDefault="00D6036C" w:rsidP="00D6036C">
      <w:pPr>
        <w:widowControl/>
        <w:shd w:val="clear" w:color="auto" w:fill="FFFFFF"/>
        <w:spacing w:line="360" w:lineRule="atLeast"/>
        <w:jc w:val="left"/>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 </w:t>
      </w:r>
    </w:p>
    <w:p w:rsidR="00D6036C" w:rsidRPr="00D6036C" w:rsidRDefault="00D6036C" w:rsidP="00D6036C">
      <w:pPr>
        <w:widowControl/>
        <w:shd w:val="clear" w:color="auto" w:fill="FFFFFF"/>
        <w:spacing w:line="360" w:lineRule="atLeast"/>
        <w:jc w:val="center"/>
        <w:rPr>
          <w:rFonts w:ascii="楷体" w:eastAsia="楷体" w:hAnsi="楷体" w:cs="宋体" w:hint="eastAsia"/>
          <w:color w:val="000000"/>
          <w:kern w:val="0"/>
          <w:sz w:val="24"/>
          <w:szCs w:val="24"/>
        </w:rPr>
      </w:pPr>
      <w:bookmarkStart w:id="0" w:name="_GoBack"/>
      <w:r w:rsidRPr="00D6036C">
        <w:rPr>
          <w:rFonts w:ascii="宋体" w:eastAsia="宋体" w:hAnsi="宋体" w:cs="宋体" w:hint="eastAsia"/>
          <w:color w:val="000000"/>
          <w:kern w:val="0"/>
          <w:szCs w:val="21"/>
        </w:rPr>
        <w:t>〔2018〕86号</w:t>
      </w:r>
    </w:p>
    <w:bookmarkEnd w:id="0"/>
    <w:p w:rsidR="00D6036C" w:rsidRPr="00D6036C" w:rsidRDefault="00D6036C" w:rsidP="00D6036C">
      <w:pPr>
        <w:widowControl/>
        <w:shd w:val="clear" w:color="auto" w:fill="FFFFFF"/>
        <w:spacing w:line="360" w:lineRule="atLeast"/>
        <w:jc w:val="left"/>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 </w:t>
      </w:r>
    </w:p>
    <w:p w:rsidR="00D6036C" w:rsidRPr="00D6036C" w:rsidRDefault="00D6036C" w:rsidP="00D6036C">
      <w:pPr>
        <w:widowControl/>
        <w:shd w:val="clear" w:color="auto" w:fill="FFFFFF"/>
        <w:spacing w:line="360" w:lineRule="atLeast"/>
        <w:jc w:val="left"/>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 </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当事人：于洪瑞，男，1974年6月出生，住址：江苏省南京市。</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王风雷，男，1975年5月出生，住址：江苏省南京市。</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依据《中华人民共和国证券法》（以下简称《证券法》）的规定，我会对于洪瑞、王风雷内幕交易维格娜丝时装股份有限公司（以下简称维格娜丝）股票案进行了立案调查、审理，并依法向当事人告知了</w:t>
      </w:r>
      <w:proofErr w:type="gramStart"/>
      <w:r w:rsidRPr="00D6036C">
        <w:rPr>
          <w:rFonts w:ascii="宋体" w:eastAsia="宋体" w:hAnsi="宋体" w:cs="宋体" w:hint="eastAsia"/>
          <w:color w:val="000000"/>
          <w:kern w:val="0"/>
          <w:szCs w:val="21"/>
        </w:rPr>
        <w:t>作出</w:t>
      </w:r>
      <w:proofErr w:type="gramEnd"/>
      <w:r w:rsidRPr="00D6036C">
        <w:rPr>
          <w:rFonts w:ascii="宋体" w:eastAsia="宋体" w:hAnsi="宋体" w:cs="宋体" w:hint="eastAsia"/>
          <w:color w:val="000000"/>
          <w:kern w:val="0"/>
          <w:szCs w:val="21"/>
        </w:rPr>
        <w:t>行政处罚的事实、理由、依据及当事人依法享有的权利。应当事人的要求，我会举行了听证会，听取了其陈述、申辩。本案现已调查、审理终结。</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经查明，当事人存在以下违法事实：</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一、内幕信息形成与公开过程</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2016年4月上旬，</w:t>
      </w:r>
      <w:proofErr w:type="gramStart"/>
      <w:r w:rsidRPr="00D6036C">
        <w:rPr>
          <w:rFonts w:ascii="宋体" w:eastAsia="宋体" w:hAnsi="宋体" w:cs="宋体" w:hint="eastAsia"/>
          <w:color w:val="000000"/>
          <w:kern w:val="0"/>
          <w:szCs w:val="21"/>
        </w:rPr>
        <w:t>株式会社衣念世界</w:t>
      </w:r>
      <w:proofErr w:type="gramEnd"/>
      <w:r w:rsidRPr="00D6036C">
        <w:rPr>
          <w:rFonts w:ascii="宋体" w:eastAsia="宋体" w:hAnsi="宋体" w:cs="宋体" w:hint="eastAsia"/>
          <w:color w:val="000000"/>
          <w:kern w:val="0"/>
          <w:szCs w:val="21"/>
        </w:rPr>
        <w:t>（以下</w:t>
      </w:r>
      <w:proofErr w:type="gramStart"/>
      <w:r w:rsidRPr="00D6036C">
        <w:rPr>
          <w:rFonts w:ascii="宋体" w:eastAsia="宋体" w:hAnsi="宋体" w:cs="宋体" w:hint="eastAsia"/>
          <w:color w:val="000000"/>
          <w:kern w:val="0"/>
          <w:szCs w:val="21"/>
        </w:rPr>
        <w:t>简称衣念世界</w:t>
      </w:r>
      <w:proofErr w:type="gramEnd"/>
      <w:r w:rsidRPr="00D6036C">
        <w:rPr>
          <w:rFonts w:ascii="宋体" w:eastAsia="宋体" w:hAnsi="宋体" w:cs="宋体" w:hint="eastAsia"/>
          <w:color w:val="000000"/>
          <w:kern w:val="0"/>
          <w:szCs w:val="21"/>
        </w:rPr>
        <w:t>）拟</w:t>
      </w:r>
      <w:proofErr w:type="gramStart"/>
      <w:r w:rsidRPr="00D6036C">
        <w:rPr>
          <w:rFonts w:ascii="宋体" w:eastAsia="宋体" w:hAnsi="宋体" w:cs="宋体" w:hint="eastAsia"/>
          <w:color w:val="000000"/>
          <w:kern w:val="0"/>
          <w:szCs w:val="21"/>
        </w:rPr>
        <w:t>出售衣念时装</w:t>
      </w:r>
      <w:proofErr w:type="gramEnd"/>
      <w:r w:rsidRPr="00D6036C">
        <w:rPr>
          <w:rFonts w:ascii="宋体" w:eastAsia="宋体" w:hAnsi="宋体" w:cs="宋体" w:hint="eastAsia"/>
          <w:color w:val="000000"/>
          <w:kern w:val="0"/>
          <w:szCs w:val="21"/>
        </w:rPr>
        <w:t>香港有限公司（</w:t>
      </w:r>
      <w:proofErr w:type="gramStart"/>
      <w:r w:rsidRPr="00D6036C">
        <w:rPr>
          <w:rFonts w:ascii="宋体" w:eastAsia="宋体" w:hAnsi="宋体" w:cs="宋体" w:hint="eastAsia"/>
          <w:color w:val="000000"/>
          <w:kern w:val="0"/>
          <w:szCs w:val="21"/>
        </w:rPr>
        <w:t>衣念香港</w:t>
      </w:r>
      <w:proofErr w:type="gramEnd"/>
      <w:r w:rsidRPr="00D6036C">
        <w:rPr>
          <w:rFonts w:ascii="宋体" w:eastAsia="宋体" w:hAnsi="宋体" w:cs="宋体" w:hint="eastAsia"/>
          <w:color w:val="000000"/>
          <w:kern w:val="0"/>
          <w:szCs w:val="21"/>
        </w:rPr>
        <w:t>）及其关联方持有的</w:t>
      </w:r>
      <w:proofErr w:type="spellStart"/>
      <w:r w:rsidRPr="00D6036C">
        <w:rPr>
          <w:rFonts w:ascii="宋体" w:eastAsia="宋体" w:hAnsi="宋体" w:cs="宋体" w:hint="eastAsia"/>
          <w:color w:val="000000"/>
          <w:kern w:val="0"/>
          <w:szCs w:val="21"/>
        </w:rPr>
        <w:t>Teenie</w:t>
      </w:r>
      <w:proofErr w:type="spellEnd"/>
      <w:r w:rsidRPr="00D6036C">
        <w:rPr>
          <w:rFonts w:ascii="宋体" w:eastAsia="宋体" w:hAnsi="宋体" w:cs="宋体" w:hint="eastAsia"/>
          <w:color w:val="000000"/>
          <w:kern w:val="0"/>
          <w:szCs w:val="21"/>
        </w:rPr>
        <w:t> Weenie品牌及该品牌相关的资产和业务，寻找潜在的投资人，其中包括维格娜丝。</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2016年5月7日，维格娜丝的管理团队成员召开会议讨论收购</w:t>
      </w:r>
      <w:proofErr w:type="spellStart"/>
      <w:r w:rsidRPr="00D6036C">
        <w:rPr>
          <w:rFonts w:ascii="宋体" w:eastAsia="宋体" w:hAnsi="宋体" w:cs="宋体" w:hint="eastAsia"/>
          <w:color w:val="000000"/>
          <w:kern w:val="0"/>
          <w:szCs w:val="21"/>
        </w:rPr>
        <w:t>Teenie</w:t>
      </w:r>
      <w:proofErr w:type="spellEnd"/>
      <w:r w:rsidRPr="00D6036C">
        <w:rPr>
          <w:rFonts w:ascii="宋体" w:eastAsia="宋体" w:hAnsi="宋体" w:cs="宋体" w:hint="eastAsia"/>
          <w:color w:val="000000"/>
          <w:kern w:val="0"/>
          <w:szCs w:val="21"/>
        </w:rPr>
        <w:t> Weenie品牌在大陆地区资产和业务的事项，会上达成一致意见确定参与该项目的竞标。</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2016年6月3日，维格娜丝发出第一轮投标书，6月7日，维格娜丝得知已进入第二轮竞标，维格娜丝联系招商银行协助做几十亿规模的融资方案。</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2016年7月4日，招商银行总行投行部、招商银行南京江宁支行赵某、樊某与维格娜丝召开融资方案讨论会。</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2016年7月29日，</w:t>
      </w:r>
      <w:proofErr w:type="gramStart"/>
      <w:r w:rsidRPr="00D6036C">
        <w:rPr>
          <w:rFonts w:ascii="宋体" w:eastAsia="宋体" w:hAnsi="宋体" w:cs="宋体" w:hint="eastAsia"/>
          <w:color w:val="000000"/>
          <w:kern w:val="0"/>
          <w:szCs w:val="21"/>
        </w:rPr>
        <w:t>衣念世界</w:t>
      </w:r>
      <w:proofErr w:type="gramEnd"/>
      <w:r w:rsidRPr="00D6036C">
        <w:rPr>
          <w:rFonts w:ascii="宋体" w:eastAsia="宋体" w:hAnsi="宋体" w:cs="宋体" w:hint="eastAsia"/>
          <w:color w:val="000000"/>
          <w:kern w:val="0"/>
          <w:szCs w:val="21"/>
        </w:rPr>
        <w:t>告知维格娜丝竞标成功。同日，招商银行南京分行召开对维格娜丝的授信审批会议。</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2016年8月25日，招商银行总行审贷会审批通过维格娜丝融资方案；2016年8月29日，维格娜丝获悉招商银行总行审批通过维格娜丝融资方案。</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lastRenderedPageBreak/>
        <w:t>2016年9月3日，维格娜丝公告该收购事项。该收购事项在公开披露前，属于《证券法》规定的内幕信息。内幕信息不晚于2016年5月7日形成，公开于2016年9月3日。内幕信息的知情人包括赵某、樊某等，知悉内幕信息时间不晚于2016年7月4日。</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二、于洪瑞内幕交易“维格娜丝”</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（一）于洪瑞使用“于洪瑞”证券账户交易“维格娜丝”情况</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“于洪瑞”证券账户于2014年10月10日在中</w:t>
      </w:r>
      <w:proofErr w:type="gramStart"/>
      <w:r w:rsidRPr="00D6036C">
        <w:rPr>
          <w:rFonts w:ascii="宋体" w:eastAsia="宋体" w:hAnsi="宋体" w:cs="宋体" w:hint="eastAsia"/>
          <w:color w:val="000000"/>
          <w:kern w:val="0"/>
          <w:szCs w:val="21"/>
        </w:rPr>
        <w:t>信建投证券</w:t>
      </w:r>
      <w:proofErr w:type="gramEnd"/>
      <w:r w:rsidRPr="00D6036C">
        <w:rPr>
          <w:rFonts w:ascii="宋体" w:eastAsia="宋体" w:hAnsi="宋体" w:cs="宋体" w:hint="eastAsia"/>
          <w:color w:val="000000"/>
          <w:kern w:val="0"/>
          <w:szCs w:val="21"/>
        </w:rPr>
        <w:t>南京江宁金箔路营业部开立，该账户从2016年8月15日开始买入“维格娜丝”，至8月26日，累计买入466,300股，成交金额14,481,055.56元。2017年1月10日陆续卖出，截至8月24日，实际获利为-2,226,749.16元。</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该账户首次交易“维格娜丝”，通过于洪瑞本人手机号码委托下单，部分下单为电脑网络委托下单。</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（二）“于洪瑞”证券账户资金来源</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“于洪瑞”证券账户交易“维格娜丝”的资金来源于于洪瑞汇入的11,171,942.02元和其妻子汇入的37万元；此后，通过股票质押融资300万元陆续买入“维格娜丝”。</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（三）于洪瑞与内幕信息知情人赵某、樊某联络情况</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于洪瑞与招商银行南京江宁支行的赵某和樊某均认识，因业务关系保持频繁联系。于洪瑞和赵某的通讯记录显示，两人2016年8月至12月共计通话116次。于洪瑞和樊某的通讯记录显示，两人2016年8月至11月共计通话20次。于洪瑞称其买完“维格娜丝”之后，跟赵某、樊某都聊过“维格娜丝”这只股票。</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（四）“于洪瑞”证券账户交易特征分析</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于洪瑞”证券账户2016年8月15日首次交易“维格娜丝”，转入大量资金，并进行股票质押回购交易，交易行为明显异常。于洪瑞与内幕信息知情人赵某、樊某联系密切，非法获取内幕信息进行内幕交易。另外，于洪瑞在内幕信息公开前还建议王风雷交易“维格娜丝”，更加印证于洪瑞非法获取内幕信息，并利用内幕信息进行内幕交易。</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三、王风雷内幕交易“维格娜丝”</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（一）王风雷控制使用“王某虹”、“陈某英”证券账户交易“维格娜丝”情况</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“王某虹”证券账户于2001年3月13日在华泰证券南京长江路营业部开立，该账户于2016年8月12日至8月24日买入“维格娜丝”127,983股，成交金额3,889,501.48元。复牌后全部卖出，实际获利-1,017,676.77元。</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“陈某英”证券账户于2000年12月18日在华泰证券南京长江路营业部开立，该账户在2016年8月15日开始买入“维格娜丝”，至8月23日共买入93,072股，成交金额为2,858,403.52元。复牌后全部卖出，实际获利-759,916.71元。</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上述证券账户通过</w:t>
      </w:r>
      <w:proofErr w:type="gramStart"/>
      <w:r w:rsidRPr="00D6036C">
        <w:rPr>
          <w:rFonts w:ascii="宋体" w:eastAsia="宋体" w:hAnsi="宋体" w:cs="宋体" w:hint="eastAsia"/>
          <w:color w:val="000000"/>
          <w:kern w:val="0"/>
          <w:szCs w:val="21"/>
        </w:rPr>
        <w:t>王某虹及其</w:t>
      </w:r>
      <w:proofErr w:type="gramEnd"/>
      <w:r w:rsidRPr="00D6036C">
        <w:rPr>
          <w:rFonts w:ascii="宋体" w:eastAsia="宋体" w:hAnsi="宋体" w:cs="宋体" w:hint="eastAsia"/>
          <w:color w:val="000000"/>
          <w:kern w:val="0"/>
          <w:szCs w:val="21"/>
        </w:rPr>
        <w:t>配偶手机号码委托下单。</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王风雷称交易“维格娜丝”的决策由王风雷做出，</w:t>
      </w:r>
      <w:proofErr w:type="gramStart"/>
      <w:r w:rsidRPr="00D6036C">
        <w:rPr>
          <w:rFonts w:ascii="宋体" w:eastAsia="宋体" w:hAnsi="宋体" w:cs="宋体" w:hint="eastAsia"/>
          <w:color w:val="000000"/>
          <w:kern w:val="0"/>
          <w:szCs w:val="21"/>
        </w:rPr>
        <w:t>王某虹听</w:t>
      </w:r>
      <w:proofErr w:type="gramEnd"/>
      <w:r w:rsidRPr="00D6036C">
        <w:rPr>
          <w:rFonts w:ascii="宋体" w:eastAsia="宋体" w:hAnsi="宋体" w:cs="宋体" w:hint="eastAsia"/>
          <w:color w:val="000000"/>
          <w:kern w:val="0"/>
          <w:szCs w:val="21"/>
        </w:rPr>
        <w:t>王风雷指令操作交易下单，账户的盈亏由王风雷承担。</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上述证券账户在2016年1月之前以短线交易为主。在2016年2月至7月没有交易记录，账户上也没有余</w:t>
      </w:r>
      <w:proofErr w:type="gramStart"/>
      <w:r w:rsidRPr="00D6036C">
        <w:rPr>
          <w:rFonts w:ascii="宋体" w:eastAsia="宋体" w:hAnsi="宋体" w:cs="宋体" w:hint="eastAsia"/>
          <w:color w:val="000000"/>
          <w:kern w:val="0"/>
          <w:szCs w:val="21"/>
        </w:rPr>
        <w:t>券</w:t>
      </w:r>
      <w:proofErr w:type="gramEnd"/>
      <w:r w:rsidRPr="00D6036C">
        <w:rPr>
          <w:rFonts w:ascii="宋体" w:eastAsia="宋体" w:hAnsi="宋体" w:cs="宋体" w:hint="eastAsia"/>
          <w:color w:val="000000"/>
          <w:kern w:val="0"/>
          <w:szCs w:val="21"/>
        </w:rPr>
        <w:t>和资金余额。</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（二）“王某虹”“陈某英”证券账户资金来源</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lastRenderedPageBreak/>
        <w:t>“王某虹”、“陈某英”证券账户交易“维格娜丝”的资金主要来源于王</w:t>
      </w:r>
      <w:proofErr w:type="gramStart"/>
      <w:r w:rsidRPr="00D6036C">
        <w:rPr>
          <w:rFonts w:ascii="宋体" w:eastAsia="宋体" w:hAnsi="宋体" w:cs="宋体" w:hint="eastAsia"/>
          <w:color w:val="000000"/>
          <w:kern w:val="0"/>
          <w:szCs w:val="21"/>
        </w:rPr>
        <w:t>某虹银行</w:t>
      </w:r>
      <w:proofErr w:type="gramEnd"/>
      <w:r w:rsidRPr="00D6036C">
        <w:rPr>
          <w:rFonts w:ascii="宋体" w:eastAsia="宋体" w:hAnsi="宋体" w:cs="宋体" w:hint="eastAsia"/>
          <w:color w:val="000000"/>
          <w:kern w:val="0"/>
          <w:szCs w:val="21"/>
        </w:rPr>
        <w:t>账户的理财资金、基金产品赎回资金。王风雷称其在</w:t>
      </w:r>
      <w:proofErr w:type="gramStart"/>
      <w:r w:rsidRPr="00D6036C">
        <w:rPr>
          <w:rFonts w:ascii="宋体" w:eastAsia="宋体" w:hAnsi="宋体" w:cs="宋体" w:hint="eastAsia"/>
          <w:color w:val="000000"/>
          <w:kern w:val="0"/>
          <w:szCs w:val="21"/>
        </w:rPr>
        <w:t>王某虹账户</w:t>
      </w:r>
      <w:proofErr w:type="gramEnd"/>
      <w:r w:rsidRPr="00D6036C">
        <w:rPr>
          <w:rFonts w:ascii="宋体" w:eastAsia="宋体" w:hAnsi="宋体" w:cs="宋体" w:hint="eastAsia"/>
          <w:color w:val="000000"/>
          <w:kern w:val="0"/>
          <w:szCs w:val="21"/>
        </w:rPr>
        <w:t>里放了400多万元，在陈</w:t>
      </w:r>
      <w:proofErr w:type="gramStart"/>
      <w:r w:rsidRPr="00D6036C">
        <w:rPr>
          <w:rFonts w:ascii="宋体" w:eastAsia="宋体" w:hAnsi="宋体" w:cs="宋体" w:hint="eastAsia"/>
          <w:color w:val="000000"/>
          <w:kern w:val="0"/>
          <w:szCs w:val="21"/>
        </w:rPr>
        <w:t>某英账户</w:t>
      </w:r>
      <w:proofErr w:type="gramEnd"/>
      <w:r w:rsidRPr="00D6036C">
        <w:rPr>
          <w:rFonts w:ascii="宋体" w:eastAsia="宋体" w:hAnsi="宋体" w:cs="宋体" w:hint="eastAsia"/>
          <w:color w:val="000000"/>
          <w:kern w:val="0"/>
          <w:szCs w:val="21"/>
        </w:rPr>
        <w:t>里放了200多万元，都是属于王风雷本人的资金。</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（三）王风雷从于洪瑞处非法获取内幕信息</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王风雷与于洪瑞是多年好友，联络频繁，关系密切。于洪瑞曾无息出借300万元给王风雷。根据王风雷询问笔录，其决策交易“维格娜丝”是于洪瑞向其推荐的。王风雷从于洪瑞处非法获取内幕信息并听从于洪瑞的建议，买入“维格娜丝”。</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（四）“王某虹”、“陈某英”证券账户交易特征分析</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王某虹”、“陈某英”账户在2016年1月至7月无交易；在近半年未交易的情况下，再次启用便大量买入“维格娜丝”，通过赎回基金和理财产品，重仓买入，决策果断。王风雷利用他人证券账户交易，隐蔽性强，交易行为明显异常。根据其询问笔录，其决策交易“维格娜丝”是于洪瑞向其推荐的，其交易行为与其询问笔录相印证。</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上述事实，有相关证券账户交易终端硬件信息（IP地址、MAC地址、下单手机号）、证券账户资料、银行账户资料、相关人员询问笔录、通讯记录及情况说明、交易所相关数据信息等证据证明，足以认定。</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我会认为，维格娜丝拟以现金方式</w:t>
      </w:r>
      <w:proofErr w:type="gramStart"/>
      <w:r w:rsidRPr="00D6036C">
        <w:rPr>
          <w:rFonts w:ascii="宋体" w:eastAsia="宋体" w:hAnsi="宋体" w:cs="宋体" w:hint="eastAsia"/>
          <w:color w:val="000000"/>
          <w:kern w:val="0"/>
          <w:szCs w:val="21"/>
        </w:rPr>
        <w:t>收购衣念香港</w:t>
      </w:r>
      <w:proofErr w:type="gramEnd"/>
      <w:r w:rsidRPr="00D6036C">
        <w:rPr>
          <w:rFonts w:ascii="宋体" w:eastAsia="宋体" w:hAnsi="宋体" w:cs="宋体" w:hint="eastAsia"/>
          <w:color w:val="000000"/>
          <w:kern w:val="0"/>
          <w:szCs w:val="21"/>
        </w:rPr>
        <w:t>及其关联方持有的</w:t>
      </w:r>
      <w:proofErr w:type="spellStart"/>
      <w:r w:rsidRPr="00D6036C">
        <w:rPr>
          <w:rFonts w:ascii="宋体" w:eastAsia="宋体" w:hAnsi="宋体" w:cs="宋体" w:hint="eastAsia"/>
          <w:color w:val="000000"/>
          <w:kern w:val="0"/>
          <w:szCs w:val="21"/>
        </w:rPr>
        <w:t>Teenie</w:t>
      </w:r>
      <w:proofErr w:type="spellEnd"/>
      <w:r w:rsidRPr="00D6036C">
        <w:rPr>
          <w:rFonts w:ascii="宋体" w:eastAsia="宋体" w:hAnsi="宋体" w:cs="宋体" w:hint="eastAsia"/>
          <w:color w:val="000000"/>
          <w:kern w:val="0"/>
          <w:szCs w:val="21"/>
        </w:rPr>
        <w:t> Weenie品牌及该品牌相关的资产和业务，在公开披露前，属于《证券法》第六十七条第二款第（二）项规定的“公司的重大投资行为和重大的购置财产的决定”，是《证券法》第七十五条第二款第（一）项规定的内幕信息。内幕信息不晚于2016年5月7日形成，公开于2016年9月3日。</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于洪瑞从内幕信息知情人赵某、樊某处非法获取内幕信息，知悉时间不晚于2016年8月11日。于洪瑞在内幕信息公开前，使用本人证券账户交易“维格娜丝”；同时，其在内幕信息公开前还建议王风雷交易“维格娜丝”。上述行为违反《证券法》第七十三条、第七十六条第一款的规定，构成《证券法》第二百零二条所述的内幕交易和建议他人买卖该证券的行为。</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王风雷从于洪瑞处非法获取内幕信息，知悉时间不晚于2016年8月12日，并接受于洪瑞的建议，使用“王某虹”“陈某英”证券账户在内幕信息公开前买入“维格娜丝”，违反《证券法》第七十三条、第七十六条第一款的规定，构成《证券法》第二百零二条所述的内幕交易行为。</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当事人于洪瑞在听证及陈述申辩中提出：第一，其交易“维格娜丝”，是在听朋友介绍之后，通过关注相关网络信息，进而认定“维格娜丝”可以买入；第二，否认其交易异常性；第三，否认其建议王风雷交易“维格娜丝”；第四，樊某、赵某称，招商银行总行2016年8月24日否决向维格娜丝收购提供资金支持的方案，于洪瑞不可能在明知该信息的情况下依然买入并持有“维格娜丝”。</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经复核，我会认为：第一，于洪瑞在调查阶段和听证阶段对于交易“维格娜丝”的理由解释不一致，在调查阶段未提及建议其买入“维格娜丝”朋友的相关情况。第二，于洪瑞与内幕信息知情人赵某、樊某联系密切，联络时间与交易时间相吻合；其通过股票质押回购等方式筹集大量资金，交易“维格娜丝”的行为，决策果断，交易行为明显异常，并无合理解</w:t>
      </w:r>
      <w:r w:rsidRPr="00D6036C">
        <w:rPr>
          <w:rFonts w:ascii="宋体" w:eastAsia="宋体" w:hAnsi="宋体" w:cs="宋体" w:hint="eastAsia"/>
          <w:color w:val="000000"/>
          <w:kern w:val="0"/>
          <w:szCs w:val="21"/>
        </w:rPr>
        <w:lastRenderedPageBreak/>
        <w:t>释。第三，王风雷基于于洪瑞推荐，买入“维格娜丝”，有于洪瑞与王风雷笔录互相印证。第四，樊某、赵某于听证会上提供的证人证言经我会核查并不属实。综上，对于洪瑞的陈述申辩意见不予采纳。</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当事人王风雷的代理人在听证及陈述申辩中提出：第一，王风雷从于洪瑞处获取的信息，不属于《证券法》规定的内幕信息。第二，王风雷在听取于洪瑞建议时，根本无从得知其系内幕信息知情人或该信息为内幕信息，其交易“维格娜丝”的行为，不应认定为内幕交易。第三，王风雷交易“维格娜丝”的行为并无获利，即便认定该行为违反法律规定，</w:t>
      </w:r>
      <w:proofErr w:type="gramStart"/>
      <w:r w:rsidRPr="00D6036C">
        <w:rPr>
          <w:rFonts w:ascii="宋体" w:eastAsia="宋体" w:hAnsi="宋体" w:cs="宋体" w:hint="eastAsia"/>
          <w:color w:val="000000"/>
          <w:kern w:val="0"/>
          <w:szCs w:val="21"/>
        </w:rPr>
        <w:t>亦应当</w:t>
      </w:r>
      <w:proofErr w:type="gramEnd"/>
      <w:r w:rsidRPr="00D6036C">
        <w:rPr>
          <w:rFonts w:ascii="宋体" w:eastAsia="宋体" w:hAnsi="宋体" w:cs="宋体" w:hint="eastAsia"/>
          <w:color w:val="000000"/>
          <w:kern w:val="0"/>
          <w:szCs w:val="21"/>
        </w:rPr>
        <w:t>按照同案同一标准，认定该行为无违法所得。第四，樊某、赵某称，招商银行总行2016年8月24日否决向维格娜丝收购提供资金支持的方案，王风雷、于洪瑞不可能在明知该信息的情况下依然买入并持有“维格娜丝”。认定王风雷、于洪瑞自樊某、赵某处得知内幕信息存在逻辑上的缺陷，认定有误。</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经复核，我会认为：第一，王风雷从于洪瑞处获取信息并听从于洪瑞的建议，指使其姐王某虹在内幕信息公开前交易“维格娜丝”，及王某虹借款20万元买入“维格娜丝”；“王某虹”、“陈某英”证券账户通过赎回基金和理财产品，突击大量买入“维格娜丝”。王风雷利用他人证券账户交易“维格娜丝”，重仓买入，决策果断，隐蔽性强，交易行为明显异常，并无合理解释。第二，樊某、赵某于听证会上提供的证人证言经我会核查并不属实。第三，采纳对王风雷关于违法所得应按实际获利计算的申辩意见，经复核，王风雷实际违法所得为亏损1,777,593.48元。综上，采纳王风雷关于违法所得的申辩意见，对王风雷及代理人的其他陈述申辩意见不予采纳。</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根据当事人违法行为的事实、性质、情节与社会危害程度，依据《证券法》第二百零二条的规定，我会决定：</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一、对于洪瑞内幕交易行为处以60万元的罚款，对其建议他人买卖相关证券的行为处以60万元的罚款，合计处以120万元的罚款。</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二、对王风雷内幕交易行为处以60万元的罚款。</w:t>
      </w:r>
    </w:p>
    <w:p w:rsidR="00D6036C" w:rsidRPr="00D6036C" w:rsidRDefault="00D6036C" w:rsidP="00D6036C">
      <w:pPr>
        <w:widowControl/>
        <w:shd w:val="clear" w:color="auto" w:fill="FFFFFF"/>
        <w:spacing w:line="360" w:lineRule="atLeast"/>
        <w:ind w:firstLine="420"/>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上述当事人应自收到本处罚决定书之日起15日内，将罚没款汇交中国证券监督管理委员会（财政</w:t>
      </w:r>
      <w:proofErr w:type="gramStart"/>
      <w:r w:rsidRPr="00D6036C">
        <w:rPr>
          <w:rFonts w:ascii="宋体" w:eastAsia="宋体" w:hAnsi="宋体" w:cs="宋体" w:hint="eastAsia"/>
          <w:color w:val="000000"/>
          <w:kern w:val="0"/>
          <w:szCs w:val="21"/>
        </w:rPr>
        <w:t>汇缴专户</w:t>
      </w:r>
      <w:proofErr w:type="gramEnd"/>
      <w:r w:rsidRPr="00D6036C">
        <w:rPr>
          <w:rFonts w:ascii="宋体" w:eastAsia="宋体" w:hAnsi="宋体" w:cs="宋体" w:hint="eastAsia"/>
          <w:color w:val="000000"/>
          <w:kern w:val="0"/>
          <w:szCs w:val="21"/>
        </w:rPr>
        <w:t>），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D6036C" w:rsidRPr="00D6036C" w:rsidRDefault="00D6036C" w:rsidP="00D6036C">
      <w:pPr>
        <w:widowControl/>
        <w:shd w:val="clear" w:color="auto" w:fill="FFFFFF"/>
        <w:spacing w:line="360" w:lineRule="atLeast"/>
        <w:jc w:val="left"/>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 </w:t>
      </w:r>
    </w:p>
    <w:p w:rsidR="00D6036C" w:rsidRPr="00D6036C" w:rsidRDefault="00D6036C" w:rsidP="00D6036C">
      <w:pPr>
        <w:widowControl/>
        <w:shd w:val="clear" w:color="auto" w:fill="FFFFFF"/>
        <w:spacing w:line="360" w:lineRule="atLeast"/>
        <w:jc w:val="left"/>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 </w:t>
      </w:r>
    </w:p>
    <w:p w:rsidR="00D6036C" w:rsidRPr="00D6036C" w:rsidRDefault="00D6036C" w:rsidP="00D6036C">
      <w:pPr>
        <w:widowControl/>
        <w:shd w:val="clear" w:color="auto" w:fill="FFFFFF"/>
        <w:spacing w:line="360" w:lineRule="atLeast"/>
        <w:jc w:val="left"/>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 </w:t>
      </w:r>
    </w:p>
    <w:p w:rsidR="00D6036C" w:rsidRPr="00D6036C" w:rsidRDefault="00D6036C" w:rsidP="00D6036C">
      <w:pPr>
        <w:widowControl/>
        <w:shd w:val="clear" w:color="auto" w:fill="FFFFFF"/>
        <w:spacing w:line="360" w:lineRule="atLeast"/>
        <w:jc w:val="left"/>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 </w:t>
      </w:r>
    </w:p>
    <w:p w:rsidR="00D6036C" w:rsidRPr="00D6036C" w:rsidRDefault="00D6036C" w:rsidP="00D6036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 xml:space="preserve">中国证监会　　 　　</w:t>
      </w:r>
      <w:proofErr w:type="gramStart"/>
      <w:r w:rsidRPr="00D6036C">
        <w:rPr>
          <w:rFonts w:ascii="宋体" w:eastAsia="宋体" w:hAnsi="宋体" w:cs="宋体" w:hint="eastAsia"/>
          <w:color w:val="000000"/>
          <w:kern w:val="0"/>
          <w:szCs w:val="21"/>
        </w:rPr>
        <w:t xml:space="preserve">　</w:t>
      </w:r>
      <w:proofErr w:type="gramEnd"/>
    </w:p>
    <w:p w:rsidR="00D6036C" w:rsidRPr="00D6036C" w:rsidRDefault="00D6036C" w:rsidP="00D6036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 xml:space="preserve">2018年8月20日　　</w:t>
      </w:r>
      <w:proofErr w:type="gramStart"/>
      <w:r w:rsidRPr="00D6036C">
        <w:rPr>
          <w:rFonts w:ascii="宋体" w:eastAsia="宋体" w:hAnsi="宋体" w:cs="宋体" w:hint="eastAsia"/>
          <w:color w:val="000000"/>
          <w:kern w:val="0"/>
          <w:szCs w:val="21"/>
        </w:rPr>
        <w:t xml:space="preserve">　　</w:t>
      </w:r>
      <w:proofErr w:type="gramEnd"/>
    </w:p>
    <w:p w:rsidR="00D6036C" w:rsidRPr="00D6036C" w:rsidRDefault="00D6036C" w:rsidP="00D6036C">
      <w:pPr>
        <w:widowControl/>
        <w:shd w:val="clear" w:color="auto" w:fill="FFFFFF"/>
        <w:spacing w:line="360" w:lineRule="atLeast"/>
        <w:jc w:val="left"/>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 </w:t>
      </w:r>
    </w:p>
    <w:p w:rsidR="00D6036C" w:rsidRPr="00D6036C" w:rsidRDefault="00D6036C" w:rsidP="00D6036C">
      <w:pPr>
        <w:widowControl/>
        <w:shd w:val="clear" w:color="auto" w:fill="FFFFFF"/>
        <w:spacing w:line="360" w:lineRule="atLeast"/>
        <w:jc w:val="left"/>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 </w:t>
      </w:r>
    </w:p>
    <w:p w:rsidR="00D6036C" w:rsidRPr="00D6036C" w:rsidRDefault="00D6036C" w:rsidP="00D6036C">
      <w:pPr>
        <w:widowControl/>
        <w:shd w:val="clear" w:color="auto" w:fill="FFFFFF"/>
        <w:spacing w:line="360" w:lineRule="atLeast"/>
        <w:jc w:val="left"/>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lastRenderedPageBreak/>
        <w:t> </w:t>
      </w:r>
    </w:p>
    <w:p w:rsidR="00D6036C" w:rsidRPr="00D6036C" w:rsidRDefault="00D6036C" w:rsidP="00D6036C">
      <w:pPr>
        <w:widowControl/>
        <w:shd w:val="clear" w:color="auto" w:fill="FFFFFF"/>
        <w:spacing w:line="360" w:lineRule="atLeast"/>
        <w:jc w:val="left"/>
        <w:rPr>
          <w:rFonts w:ascii="楷体" w:eastAsia="楷体" w:hAnsi="楷体" w:cs="宋体" w:hint="eastAsia"/>
          <w:color w:val="000000"/>
          <w:kern w:val="0"/>
          <w:sz w:val="24"/>
          <w:szCs w:val="24"/>
        </w:rPr>
      </w:pPr>
      <w:r w:rsidRPr="00D6036C">
        <w:rPr>
          <w:rFonts w:ascii="宋体" w:eastAsia="宋体" w:hAnsi="宋体" w:cs="宋体" w:hint="eastAsia"/>
          <w:color w:val="000000"/>
          <w:kern w:val="0"/>
          <w:szCs w:val="21"/>
        </w:rPr>
        <w:t> </w:t>
      </w:r>
    </w:p>
    <w:p w:rsidR="00D6036C" w:rsidRPr="00D6036C" w:rsidRDefault="00D6036C" w:rsidP="00D6036C">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D6036C" w:rsidRPr="00D6036C" w:rsidTr="00D6036C">
        <w:trPr>
          <w:tblCellSpacing w:w="15" w:type="dxa"/>
          <w:jc w:val="center"/>
        </w:trPr>
        <w:tc>
          <w:tcPr>
            <w:tcW w:w="900" w:type="dxa"/>
            <w:vAlign w:val="center"/>
            <w:hideMark/>
          </w:tcPr>
          <w:p w:rsidR="00D6036C" w:rsidRPr="00D6036C" w:rsidRDefault="00D6036C" w:rsidP="00D6036C">
            <w:pPr>
              <w:widowControl/>
              <w:jc w:val="left"/>
              <w:rPr>
                <w:rFonts w:ascii="宋体" w:eastAsia="宋体" w:hAnsi="宋体" w:cs="宋体" w:hint="eastAsia"/>
                <w:kern w:val="0"/>
                <w:sz w:val="18"/>
                <w:szCs w:val="18"/>
              </w:rPr>
            </w:pPr>
            <w:r w:rsidRPr="00D6036C">
              <w:rPr>
                <w:rFonts w:ascii="宋体" w:eastAsia="宋体" w:hAnsi="宋体" w:cs="宋体"/>
                <w:kern w:val="0"/>
                <w:sz w:val="18"/>
                <w:szCs w:val="18"/>
              </w:rPr>
              <w:t> </w:t>
            </w:r>
          </w:p>
        </w:tc>
        <w:tc>
          <w:tcPr>
            <w:tcW w:w="1200" w:type="dxa"/>
            <w:vAlign w:val="center"/>
            <w:hideMark/>
          </w:tcPr>
          <w:p w:rsidR="00D6036C" w:rsidRPr="00D6036C" w:rsidRDefault="00D6036C" w:rsidP="00D6036C">
            <w:pPr>
              <w:widowControl/>
              <w:jc w:val="left"/>
              <w:rPr>
                <w:rFonts w:ascii="宋体" w:eastAsia="宋体" w:hAnsi="宋体" w:cs="宋体"/>
                <w:kern w:val="0"/>
                <w:sz w:val="18"/>
                <w:szCs w:val="18"/>
              </w:rPr>
            </w:pPr>
            <w:r w:rsidRPr="00D6036C">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D6036C" w:rsidRPr="00D6036C" w:rsidRDefault="00D6036C" w:rsidP="00D6036C">
            <w:pPr>
              <w:widowControl/>
              <w:jc w:val="left"/>
              <w:rPr>
                <w:rFonts w:ascii="宋体" w:eastAsia="宋体" w:hAnsi="宋体" w:cs="宋体"/>
                <w:kern w:val="0"/>
                <w:sz w:val="18"/>
                <w:szCs w:val="18"/>
              </w:rPr>
            </w:pPr>
            <w:r w:rsidRPr="00D6036C">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D6036C" w:rsidRPr="00D6036C" w:rsidRDefault="00D6036C" w:rsidP="00D6036C">
            <w:pPr>
              <w:widowControl/>
              <w:jc w:val="left"/>
              <w:rPr>
                <w:rFonts w:ascii="宋体" w:eastAsia="宋体" w:hAnsi="宋体" w:cs="宋体"/>
                <w:kern w:val="0"/>
                <w:sz w:val="18"/>
                <w:szCs w:val="18"/>
              </w:rPr>
            </w:pPr>
            <w:r w:rsidRPr="00D6036C">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D6036C" w:rsidRPr="00D6036C" w:rsidRDefault="00D6036C" w:rsidP="00D6036C">
      <w:pPr>
        <w:widowControl/>
        <w:jc w:val="center"/>
        <w:rPr>
          <w:rFonts w:ascii="微软雅黑" w:eastAsia="微软雅黑" w:hAnsi="微软雅黑" w:cs="宋体"/>
          <w:color w:val="515151"/>
          <w:kern w:val="0"/>
          <w:sz w:val="18"/>
          <w:szCs w:val="18"/>
        </w:rPr>
      </w:pPr>
      <w:hyperlink r:id="rId11" w:tgtFrame="_blank" w:history="1">
        <w:r w:rsidRPr="00D6036C">
          <w:rPr>
            <w:rFonts w:ascii="微软雅黑" w:eastAsia="微软雅黑" w:hAnsi="微软雅黑" w:cs="宋体" w:hint="eastAsia"/>
            <w:color w:val="0000FF"/>
            <w:kern w:val="0"/>
            <w:sz w:val="18"/>
            <w:szCs w:val="18"/>
            <w:u w:val="single"/>
          </w:rPr>
          <w:t>关于我们</w:t>
        </w:r>
      </w:hyperlink>
      <w:r w:rsidRPr="00D6036C">
        <w:rPr>
          <w:rFonts w:ascii="微软雅黑" w:eastAsia="微软雅黑" w:hAnsi="微软雅黑" w:cs="宋体" w:hint="eastAsia"/>
          <w:color w:val="515151"/>
          <w:kern w:val="0"/>
          <w:sz w:val="18"/>
          <w:szCs w:val="18"/>
        </w:rPr>
        <w:t> - </w:t>
      </w:r>
      <w:hyperlink r:id="rId12" w:tgtFrame="_blank" w:history="1">
        <w:r w:rsidRPr="00D6036C">
          <w:rPr>
            <w:rFonts w:ascii="微软雅黑" w:eastAsia="微软雅黑" w:hAnsi="微软雅黑" w:cs="宋体" w:hint="eastAsia"/>
            <w:color w:val="0000FF"/>
            <w:kern w:val="0"/>
            <w:sz w:val="18"/>
            <w:szCs w:val="18"/>
            <w:u w:val="single"/>
          </w:rPr>
          <w:t>法律声明</w:t>
        </w:r>
      </w:hyperlink>
      <w:r w:rsidRPr="00D6036C">
        <w:rPr>
          <w:rFonts w:ascii="微软雅黑" w:eastAsia="微软雅黑" w:hAnsi="微软雅黑" w:cs="宋体" w:hint="eastAsia"/>
          <w:color w:val="515151"/>
          <w:kern w:val="0"/>
          <w:sz w:val="18"/>
          <w:szCs w:val="18"/>
        </w:rPr>
        <w:t> - </w:t>
      </w:r>
      <w:hyperlink r:id="rId13" w:tgtFrame="_blank" w:history="1">
        <w:r w:rsidRPr="00D6036C">
          <w:rPr>
            <w:rFonts w:ascii="微软雅黑" w:eastAsia="微软雅黑" w:hAnsi="微软雅黑" w:cs="宋体" w:hint="eastAsia"/>
            <w:color w:val="0000FF"/>
            <w:kern w:val="0"/>
            <w:sz w:val="18"/>
            <w:szCs w:val="18"/>
            <w:u w:val="single"/>
          </w:rPr>
          <w:t>联系我们</w:t>
        </w:r>
      </w:hyperlink>
    </w:p>
    <w:p w:rsidR="00D6036C" w:rsidRPr="00D6036C" w:rsidRDefault="00D6036C" w:rsidP="00D6036C">
      <w:pPr>
        <w:widowControl/>
        <w:jc w:val="center"/>
        <w:rPr>
          <w:rFonts w:ascii="微软雅黑" w:eastAsia="微软雅黑" w:hAnsi="微软雅黑" w:cs="宋体" w:hint="eastAsia"/>
          <w:color w:val="515151"/>
          <w:kern w:val="0"/>
          <w:sz w:val="18"/>
          <w:szCs w:val="18"/>
        </w:rPr>
      </w:pPr>
      <w:r w:rsidRPr="00D6036C">
        <w:rPr>
          <w:rFonts w:ascii="微软雅黑" w:eastAsia="微软雅黑" w:hAnsi="微软雅黑" w:cs="宋体" w:hint="eastAsia"/>
          <w:color w:val="515151"/>
          <w:kern w:val="0"/>
          <w:sz w:val="18"/>
          <w:szCs w:val="18"/>
        </w:rPr>
        <w:t>版权所有：中国证券监督管理委员会 京ICP备 05035542号</w:t>
      </w:r>
    </w:p>
    <w:p w:rsidR="00D6036C" w:rsidRPr="00D6036C" w:rsidRDefault="00D6036C" w:rsidP="00D6036C">
      <w:pPr>
        <w:widowControl/>
        <w:jc w:val="center"/>
        <w:rPr>
          <w:rFonts w:ascii="微软雅黑" w:eastAsia="微软雅黑" w:hAnsi="微软雅黑" w:cs="宋体" w:hint="eastAsia"/>
          <w:color w:val="515151"/>
          <w:kern w:val="0"/>
          <w:sz w:val="18"/>
          <w:szCs w:val="18"/>
        </w:rPr>
      </w:pPr>
      <w:r w:rsidRPr="00D6036C">
        <w:rPr>
          <w:rFonts w:ascii="微软雅黑" w:eastAsia="微软雅黑" w:hAnsi="微软雅黑" w:cs="宋体" w:hint="eastAsia"/>
          <w:color w:val="515151"/>
          <w:kern w:val="0"/>
          <w:sz w:val="18"/>
          <w:szCs w:val="18"/>
        </w:rPr>
        <w:t>地址：北京市西城区金融大街19号富凯大厦A座 邮编：100033</w:t>
      </w:r>
    </w:p>
    <w:p w:rsidR="00D6036C" w:rsidRPr="00D6036C" w:rsidRDefault="00D6036C" w:rsidP="00D6036C">
      <w:pPr>
        <w:widowControl/>
        <w:jc w:val="center"/>
        <w:rPr>
          <w:rFonts w:ascii="微软雅黑" w:eastAsia="微软雅黑" w:hAnsi="微软雅黑" w:cs="宋体" w:hint="eastAsia"/>
          <w:color w:val="515151"/>
          <w:kern w:val="0"/>
          <w:sz w:val="18"/>
          <w:szCs w:val="18"/>
        </w:rPr>
      </w:pPr>
      <w:r w:rsidRPr="00D6036C">
        <w:rPr>
          <w:rFonts w:ascii="微软雅黑" w:eastAsia="微软雅黑" w:hAnsi="微软雅黑" w:cs="宋体" w:hint="eastAsia"/>
          <w:color w:val="515151"/>
          <w:kern w:val="0"/>
          <w:sz w:val="18"/>
          <w:szCs w:val="18"/>
        </w:rPr>
        <w:t>建议使用IE5.5以上浏览器，分辨率1024*768</w:t>
      </w:r>
    </w:p>
    <w:p w:rsidR="00A55C11" w:rsidRPr="00D6036C" w:rsidRDefault="00A55C11"/>
    <w:sectPr w:rsidR="00A55C11" w:rsidRPr="00D603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36C"/>
    <w:rsid w:val="00A55C11"/>
    <w:rsid w:val="00D60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C2C015-BA6E-4776-8A7E-1F329AE9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6036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6036C"/>
    <w:rPr>
      <w:b/>
      <w:bCs/>
    </w:rPr>
  </w:style>
  <w:style w:type="paragraph" w:customStyle="1" w:styleId="p0">
    <w:name w:val="p0"/>
    <w:basedOn w:val="a"/>
    <w:rsid w:val="00D6036C"/>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D6036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D603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266690">
      <w:bodyDiv w:val="1"/>
      <w:marLeft w:val="0"/>
      <w:marRight w:val="0"/>
      <w:marTop w:val="0"/>
      <w:marBottom w:val="0"/>
      <w:divBdr>
        <w:top w:val="none" w:sz="0" w:space="0" w:color="auto"/>
        <w:left w:val="none" w:sz="0" w:space="0" w:color="auto"/>
        <w:bottom w:val="none" w:sz="0" w:space="0" w:color="auto"/>
        <w:right w:val="none" w:sz="0" w:space="0" w:color="auto"/>
      </w:divBdr>
      <w:divsChild>
        <w:div w:id="1491217910">
          <w:marLeft w:val="0"/>
          <w:marRight w:val="0"/>
          <w:marTop w:val="150"/>
          <w:marBottom w:val="150"/>
          <w:divBdr>
            <w:top w:val="none" w:sz="0" w:space="0" w:color="auto"/>
            <w:left w:val="none" w:sz="0" w:space="0" w:color="auto"/>
            <w:bottom w:val="none" w:sz="0" w:space="0" w:color="auto"/>
            <w:right w:val="none" w:sz="0" w:space="0" w:color="auto"/>
          </w:divBdr>
        </w:div>
        <w:div w:id="1573158772">
          <w:marLeft w:val="0"/>
          <w:marRight w:val="0"/>
          <w:marTop w:val="0"/>
          <w:marBottom w:val="0"/>
          <w:divBdr>
            <w:top w:val="single" w:sz="6" w:space="8" w:color="B5B5B5"/>
            <w:left w:val="single" w:sz="6" w:space="0" w:color="B5B5B5"/>
            <w:bottom w:val="single" w:sz="6" w:space="8" w:color="B5B5B5"/>
            <w:right w:val="single" w:sz="6" w:space="0" w:color="B5B5B5"/>
          </w:divBdr>
          <w:divsChild>
            <w:div w:id="1016690034">
              <w:marLeft w:val="0"/>
              <w:marRight w:val="0"/>
              <w:marTop w:val="0"/>
              <w:marBottom w:val="0"/>
              <w:divBdr>
                <w:top w:val="none" w:sz="0" w:space="0" w:color="auto"/>
                <w:left w:val="none" w:sz="0" w:space="0" w:color="auto"/>
                <w:bottom w:val="none" w:sz="0" w:space="0" w:color="auto"/>
                <w:right w:val="none" w:sz="0" w:space="0" w:color="auto"/>
              </w:divBdr>
            </w:div>
            <w:div w:id="1274938509">
              <w:marLeft w:val="0"/>
              <w:marRight w:val="0"/>
              <w:marTop w:val="0"/>
              <w:marBottom w:val="0"/>
              <w:divBdr>
                <w:top w:val="none" w:sz="0" w:space="0" w:color="auto"/>
                <w:left w:val="none" w:sz="0" w:space="0" w:color="auto"/>
                <w:bottom w:val="none" w:sz="0" w:space="0" w:color="auto"/>
                <w:right w:val="none" w:sz="0" w:space="0" w:color="auto"/>
              </w:divBdr>
            </w:div>
            <w:div w:id="204634817">
              <w:marLeft w:val="0"/>
              <w:marRight w:val="0"/>
              <w:marTop w:val="120"/>
              <w:marBottom w:val="120"/>
              <w:divBdr>
                <w:top w:val="none" w:sz="0" w:space="0" w:color="auto"/>
                <w:left w:val="none" w:sz="0" w:space="0" w:color="auto"/>
                <w:bottom w:val="none" w:sz="0" w:space="0" w:color="auto"/>
                <w:right w:val="none" w:sz="0" w:space="0" w:color="auto"/>
              </w:divBdr>
            </w:div>
          </w:divsChild>
        </w:div>
        <w:div w:id="2046637864">
          <w:marLeft w:val="0"/>
          <w:marRight w:val="0"/>
          <w:marTop w:val="120"/>
          <w:marBottom w:val="0"/>
          <w:divBdr>
            <w:top w:val="none" w:sz="0" w:space="0" w:color="auto"/>
            <w:left w:val="none" w:sz="0" w:space="0" w:color="auto"/>
            <w:bottom w:val="none" w:sz="0" w:space="0" w:color="auto"/>
            <w:right w:val="none" w:sz="0" w:space="0" w:color="auto"/>
          </w:divBdr>
          <w:divsChild>
            <w:div w:id="818229101">
              <w:marLeft w:val="0"/>
              <w:marRight w:val="0"/>
              <w:marTop w:val="60"/>
              <w:marBottom w:val="0"/>
              <w:divBdr>
                <w:top w:val="none" w:sz="0" w:space="0" w:color="auto"/>
                <w:left w:val="none" w:sz="0" w:space="0" w:color="auto"/>
                <w:bottom w:val="none" w:sz="0" w:space="0" w:color="auto"/>
                <w:right w:val="none" w:sz="0" w:space="0" w:color="auto"/>
              </w:divBdr>
            </w:div>
            <w:div w:id="46806605">
              <w:marLeft w:val="0"/>
              <w:marRight w:val="0"/>
              <w:marTop w:val="60"/>
              <w:marBottom w:val="0"/>
              <w:divBdr>
                <w:top w:val="none" w:sz="0" w:space="0" w:color="auto"/>
                <w:left w:val="none" w:sz="0" w:space="0" w:color="auto"/>
                <w:bottom w:val="none" w:sz="0" w:space="0" w:color="auto"/>
                <w:right w:val="none" w:sz="0" w:space="0" w:color="auto"/>
              </w:divBdr>
            </w:div>
            <w:div w:id="933393630">
              <w:marLeft w:val="0"/>
              <w:marRight w:val="0"/>
              <w:marTop w:val="60"/>
              <w:marBottom w:val="0"/>
              <w:divBdr>
                <w:top w:val="none" w:sz="0" w:space="0" w:color="auto"/>
                <w:left w:val="none" w:sz="0" w:space="0" w:color="auto"/>
                <w:bottom w:val="none" w:sz="0" w:space="0" w:color="auto"/>
                <w:right w:val="none" w:sz="0" w:space="0" w:color="auto"/>
              </w:divBdr>
            </w:div>
            <w:div w:id="6326387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808/t20180824_343029.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723</Words>
  <Characters>4127</Characters>
  <Application>Microsoft Office Word</Application>
  <DocSecurity>0</DocSecurity>
  <Lines>34</Lines>
  <Paragraphs>9</Paragraphs>
  <ScaleCrop>false</ScaleCrop>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2020-02-15T11:53:00Z</dcterms:created>
  <dcterms:modified xsi:type="dcterms:W3CDTF">2020-02-15T11:53:00Z</dcterms:modified>
</cp:coreProperties>
</file>