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B41" w:rsidRPr="00C93B41" w:rsidRDefault="00C93B41" w:rsidP="00C93B41">
      <w:pPr>
        <w:widowControl/>
        <w:jc w:val="center"/>
        <w:rPr>
          <w:rFonts w:ascii="微软雅黑" w:eastAsia="微软雅黑" w:hAnsi="微软雅黑" w:cs="宋体"/>
          <w:color w:val="000000"/>
          <w:kern w:val="0"/>
          <w:sz w:val="18"/>
          <w:szCs w:val="18"/>
        </w:rPr>
      </w:pPr>
      <w:r w:rsidRPr="00C93B41">
        <w:rPr>
          <w:rFonts w:ascii="微软雅黑" w:eastAsia="微软雅黑" w:hAnsi="微软雅黑" w:cs="宋体"/>
          <w:noProof/>
          <w:color w:val="000000"/>
          <w:kern w:val="0"/>
          <w:sz w:val="18"/>
          <w:szCs w:val="18"/>
        </w:rPr>
        <w:drawing>
          <wp:inline distT="0" distB="0" distL="0" distR="0">
            <wp:extent cx="5274310" cy="573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C93B41" w:rsidRPr="00C93B41" w:rsidTr="00C93B4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93B41" w:rsidRPr="00C93B41">
              <w:trPr>
                <w:tblCellSpacing w:w="0" w:type="dxa"/>
              </w:trPr>
              <w:tc>
                <w:tcPr>
                  <w:tcW w:w="2500" w:type="pct"/>
                  <w:tcMar>
                    <w:top w:w="30" w:type="dxa"/>
                    <w:left w:w="30" w:type="dxa"/>
                    <w:bottom w:w="30" w:type="dxa"/>
                    <w:right w:w="30" w:type="dxa"/>
                  </w:tcMar>
                  <w:hideMark/>
                </w:tcPr>
                <w:p w:rsidR="00C93B41" w:rsidRPr="00C93B41" w:rsidRDefault="00C93B41" w:rsidP="00C93B41">
                  <w:pPr>
                    <w:widowControl/>
                    <w:jc w:val="left"/>
                    <w:rPr>
                      <w:rFonts w:ascii="宋体" w:eastAsia="宋体" w:hAnsi="宋体" w:cs="宋体" w:hint="eastAsia"/>
                      <w:color w:val="686868"/>
                      <w:kern w:val="0"/>
                      <w:sz w:val="18"/>
                      <w:szCs w:val="18"/>
                    </w:rPr>
                  </w:pPr>
                  <w:r w:rsidRPr="00C93B41">
                    <w:rPr>
                      <w:rFonts w:ascii="宋体" w:eastAsia="宋体" w:hAnsi="宋体" w:cs="宋体"/>
                      <w:b/>
                      <w:bCs/>
                      <w:color w:val="686868"/>
                      <w:kern w:val="0"/>
                      <w:sz w:val="18"/>
                      <w:szCs w:val="18"/>
                    </w:rPr>
                    <w:t>索 引 号:</w:t>
                  </w:r>
                  <w:r w:rsidRPr="00C93B4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C93B41" w:rsidRPr="00C93B41" w:rsidRDefault="00C93B41" w:rsidP="00C93B41">
                  <w:pPr>
                    <w:widowControl/>
                    <w:jc w:val="left"/>
                    <w:rPr>
                      <w:rFonts w:ascii="宋体" w:eastAsia="宋体" w:hAnsi="宋体" w:cs="宋体"/>
                      <w:color w:val="686868"/>
                      <w:kern w:val="0"/>
                      <w:sz w:val="18"/>
                      <w:szCs w:val="18"/>
                    </w:rPr>
                  </w:pPr>
                  <w:r w:rsidRPr="00C93B41">
                    <w:rPr>
                      <w:rFonts w:ascii="宋体" w:eastAsia="宋体" w:hAnsi="宋体" w:cs="宋体"/>
                      <w:b/>
                      <w:bCs/>
                      <w:color w:val="686868"/>
                      <w:kern w:val="0"/>
                      <w:sz w:val="18"/>
                      <w:szCs w:val="18"/>
                    </w:rPr>
                    <w:t>分类:</w:t>
                  </w:r>
                  <w:r w:rsidRPr="00C93B41">
                    <w:rPr>
                      <w:rFonts w:ascii="宋体" w:eastAsia="宋体" w:hAnsi="宋体" w:cs="宋体"/>
                      <w:color w:val="686868"/>
                      <w:kern w:val="0"/>
                      <w:sz w:val="18"/>
                      <w:szCs w:val="18"/>
                    </w:rPr>
                    <w:t> 行政处罚 ; 行政处罚决定</w:t>
                  </w:r>
                </w:p>
              </w:tc>
            </w:tr>
          </w:tbl>
          <w:p w:rsidR="00C93B41" w:rsidRPr="00C93B41" w:rsidRDefault="00C93B41" w:rsidP="00C93B41">
            <w:pPr>
              <w:widowControl/>
              <w:jc w:val="left"/>
              <w:rPr>
                <w:rFonts w:ascii="宋体" w:eastAsia="宋体" w:hAnsi="宋体" w:cs="宋体"/>
                <w:color w:val="686868"/>
                <w:kern w:val="0"/>
                <w:sz w:val="18"/>
                <w:szCs w:val="18"/>
              </w:rPr>
            </w:pPr>
          </w:p>
        </w:tc>
      </w:tr>
      <w:tr w:rsidR="00C93B41" w:rsidRPr="00C93B41" w:rsidTr="00C93B4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93B41" w:rsidRPr="00C93B41">
              <w:trPr>
                <w:tblCellSpacing w:w="0" w:type="dxa"/>
              </w:trPr>
              <w:tc>
                <w:tcPr>
                  <w:tcW w:w="2500" w:type="pct"/>
                  <w:tcMar>
                    <w:top w:w="30" w:type="dxa"/>
                    <w:left w:w="30" w:type="dxa"/>
                    <w:bottom w:w="30" w:type="dxa"/>
                    <w:right w:w="30" w:type="dxa"/>
                  </w:tcMar>
                  <w:hideMark/>
                </w:tcPr>
                <w:p w:rsidR="00C93B41" w:rsidRPr="00C93B41" w:rsidRDefault="00C93B41" w:rsidP="00C93B41">
                  <w:pPr>
                    <w:widowControl/>
                    <w:jc w:val="left"/>
                    <w:rPr>
                      <w:rFonts w:ascii="宋体" w:eastAsia="宋体" w:hAnsi="宋体" w:cs="宋体"/>
                      <w:color w:val="686868"/>
                      <w:kern w:val="0"/>
                      <w:sz w:val="18"/>
                      <w:szCs w:val="18"/>
                    </w:rPr>
                  </w:pPr>
                  <w:r w:rsidRPr="00C93B41">
                    <w:rPr>
                      <w:rFonts w:ascii="宋体" w:eastAsia="宋体" w:hAnsi="宋体" w:cs="宋体"/>
                      <w:b/>
                      <w:bCs/>
                      <w:color w:val="686868"/>
                      <w:kern w:val="0"/>
                      <w:sz w:val="18"/>
                      <w:szCs w:val="18"/>
                    </w:rPr>
                    <w:t>发布机构:</w:t>
                  </w:r>
                  <w:r w:rsidRPr="00C93B4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93B41" w:rsidRPr="00C93B41" w:rsidRDefault="00C93B41" w:rsidP="00C93B41">
                  <w:pPr>
                    <w:widowControl/>
                    <w:jc w:val="left"/>
                    <w:rPr>
                      <w:rFonts w:ascii="宋体" w:eastAsia="宋体" w:hAnsi="宋体" w:cs="宋体"/>
                      <w:color w:val="686868"/>
                      <w:kern w:val="0"/>
                      <w:sz w:val="18"/>
                      <w:szCs w:val="18"/>
                    </w:rPr>
                  </w:pPr>
                  <w:r w:rsidRPr="00C93B41">
                    <w:rPr>
                      <w:rFonts w:ascii="宋体" w:eastAsia="宋体" w:hAnsi="宋体" w:cs="宋体"/>
                      <w:b/>
                      <w:bCs/>
                      <w:color w:val="686868"/>
                      <w:kern w:val="0"/>
                      <w:sz w:val="18"/>
                      <w:szCs w:val="18"/>
                    </w:rPr>
                    <w:t>发文日期:</w:t>
                  </w:r>
                  <w:r w:rsidRPr="00C93B41">
                    <w:rPr>
                      <w:rFonts w:ascii="宋体" w:eastAsia="宋体" w:hAnsi="宋体" w:cs="宋体"/>
                      <w:color w:val="686868"/>
                      <w:kern w:val="0"/>
                      <w:sz w:val="18"/>
                      <w:szCs w:val="18"/>
                    </w:rPr>
                    <w:t> 2018年09月04日</w:t>
                  </w:r>
                </w:p>
              </w:tc>
            </w:tr>
          </w:tbl>
          <w:p w:rsidR="00C93B41" w:rsidRPr="00C93B41" w:rsidRDefault="00C93B41" w:rsidP="00C93B41">
            <w:pPr>
              <w:widowControl/>
              <w:jc w:val="left"/>
              <w:rPr>
                <w:rFonts w:ascii="宋体" w:eastAsia="宋体" w:hAnsi="宋体" w:cs="宋体"/>
                <w:color w:val="686868"/>
                <w:kern w:val="0"/>
                <w:sz w:val="18"/>
                <w:szCs w:val="18"/>
              </w:rPr>
            </w:pPr>
          </w:p>
        </w:tc>
      </w:tr>
      <w:tr w:rsidR="00C93B41" w:rsidRPr="00C93B41" w:rsidTr="00C93B41">
        <w:trPr>
          <w:tblCellSpacing w:w="0" w:type="dxa"/>
        </w:trPr>
        <w:tc>
          <w:tcPr>
            <w:tcW w:w="0" w:type="auto"/>
            <w:tcMar>
              <w:top w:w="30" w:type="dxa"/>
              <w:left w:w="30" w:type="dxa"/>
              <w:bottom w:w="30" w:type="dxa"/>
              <w:right w:w="30" w:type="dxa"/>
            </w:tcMar>
            <w:hideMark/>
          </w:tcPr>
          <w:p w:rsidR="00C93B41" w:rsidRPr="00C93B41" w:rsidRDefault="00C93B41" w:rsidP="00C93B41">
            <w:pPr>
              <w:widowControl/>
              <w:jc w:val="left"/>
              <w:rPr>
                <w:rFonts w:ascii="宋体" w:eastAsia="宋体" w:hAnsi="宋体" w:cs="宋体"/>
                <w:color w:val="686868"/>
                <w:kern w:val="0"/>
                <w:sz w:val="18"/>
                <w:szCs w:val="18"/>
              </w:rPr>
            </w:pPr>
            <w:r w:rsidRPr="00C93B41">
              <w:rPr>
                <w:rFonts w:ascii="宋体" w:eastAsia="宋体" w:hAnsi="宋体" w:cs="宋体"/>
                <w:b/>
                <w:bCs/>
                <w:color w:val="686868"/>
                <w:kern w:val="0"/>
                <w:sz w:val="18"/>
                <w:szCs w:val="18"/>
              </w:rPr>
              <w:t>名　　称:</w:t>
            </w:r>
            <w:r w:rsidRPr="00C93B41">
              <w:rPr>
                <w:rFonts w:ascii="宋体" w:eastAsia="宋体" w:hAnsi="宋体" w:cs="宋体"/>
                <w:color w:val="686868"/>
                <w:kern w:val="0"/>
                <w:sz w:val="18"/>
                <w:szCs w:val="18"/>
              </w:rPr>
              <w:t> 中国证监会行政处罚决定书（林震森）</w:t>
            </w:r>
          </w:p>
        </w:tc>
      </w:tr>
      <w:tr w:rsidR="00C93B41" w:rsidRPr="00C93B41" w:rsidTr="00C93B4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93B41" w:rsidRPr="00C93B41">
              <w:trPr>
                <w:tblCellSpacing w:w="0" w:type="dxa"/>
              </w:trPr>
              <w:tc>
                <w:tcPr>
                  <w:tcW w:w="2500" w:type="pct"/>
                  <w:tcMar>
                    <w:top w:w="30" w:type="dxa"/>
                    <w:left w:w="30" w:type="dxa"/>
                    <w:bottom w:w="30" w:type="dxa"/>
                    <w:right w:w="30" w:type="dxa"/>
                  </w:tcMar>
                  <w:hideMark/>
                </w:tcPr>
                <w:p w:rsidR="00C93B41" w:rsidRPr="00C93B41" w:rsidRDefault="00C93B41" w:rsidP="00C93B41">
                  <w:pPr>
                    <w:widowControl/>
                    <w:jc w:val="left"/>
                    <w:rPr>
                      <w:rFonts w:ascii="宋体" w:eastAsia="宋体" w:hAnsi="宋体" w:cs="宋体"/>
                      <w:color w:val="686868"/>
                      <w:kern w:val="0"/>
                      <w:sz w:val="18"/>
                      <w:szCs w:val="18"/>
                    </w:rPr>
                  </w:pPr>
                  <w:r w:rsidRPr="00C93B41">
                    <w:rPr>
                      <w:rFonts w:ascii="宋体" w:eastAsia="宋体" w:hAnsi="宋体" w:cs="宋体"/>
                      <w:b/>
                      <w:bCs/>
                      <w:color w:val="686868"/>
                      <w:kern w:val="0"/>
                      <w:sz w:val="18"/>
                      <w:szCs w:val="18"/>
                    </w:rPr>
                    <w:t>文　　号:</w:t>
                  </w:r>
                  <w:r w:rsidRPr="00C93B41">
                    <w:rPr>
                      <w:rFonts w:ascii="宋体" w:eastAsia="宋体" w:hAnsi="宋体" w:cs="宋体"/>
                      <w:color w:val="686868"/>
                      <w:kern w:val="0"/>
                      <w:sz w:val="18"/>
                      <w:szCs w:val="18"/>
                    </w:rPr>
                    <w:t> </w:t>
                  </w:r>
                  <w:bookmarkStart w:id="0" w:name="_GoBack"/>
                  <w:r w:rsidRPr="00C93B41">
                    <w:rPr>
                      <w:rFonts w:ascii="宋体" w:eastAsia="宋体" w:hAnsi="宋体" w:cs="宋体"/>
                      <w:color w:val="686868"/>
                      <w:kern w:val="0"/>
                      <w:sz w:val="18"/>
                      <w:szCs w:val="18"/>
                    </w:rPr>
                    <w:t>〔2018〕90号</w:t>
                  </w:r>
                  <w:bookmarkEnd w:id="0"/>
                </w:p>
              </w:tc>
              <w:tc>
                <w:tcPr>
                  <w:tcW w:w="0" w:type="auto"/>
                  <w:tcMar>
                    <w:top w:w="30" w:type="dxa"/>
                    <w:left w:w="30" w:type="dxa"/>
                    <w:bottom w:w="30" w:type="dxa"/>
                    <w:right w:w="30" w:type="dxa"/>
                  </w:tcMar>
                  <w:hideMark/>
                </w:tcPr>
                <w:p w:rsidR="00C93B41" w:rsidRPr="00C93B41" w:rsidRDefault="00C93B41" w:rsidP="00C93B41">
                  <w:pPr>
                    <w:widowControl/>
                    <w:jc w:val="left"/>
                    <w:rPr>
                      <w:rFonts w:ascii="宋体" w:eastAsia="宋体" w:hAnsi="宋体" w:cs="宋体"/>
                      <w:color w:val="686868"/>
                      <w:kern w:val="0"/>
                      <w:sz w:val="18"/>
                      <w:szCs w:val="18"/>
                    </w:rPr>
                  </w:pPr>
                  <w:r w:rsidRPr="00C93B41">
                    <w:rPr>
                      <w:rFonts w:ascii="宋体" w:eastAsia="宋体" w:hAnsi="宋体" w:cs="宋体"/>
                      <w:b/>
                      <w:bCs/>
                      <w:color w:val="686868"/>
                      <w:kern w:val="0"/>
                      <w:sz w:val="18"/>
                      <w:szCs w:val="18"/>
                    </w:rPr>
                    <w:t>主 题 词:</w:t>
                  </w:r>
                </w:p>
              </w:tc>
            </w:tr>
          </w:tbl>
          <w:p w:rsidR="00C93B41" w:rsidRPr="00C93B41" w:rsidRDefault="00C93B41" w:rsidP="00C93B41">
            <w:pPr>
              <w:widowControl/>
              <w:jc w:val="left"/>
              <w:rPr>
                <w:rFonts w:ascii="宋体" w:eastAsia="宋体" w:hAnsi="宋体" w:cs="宋体"/>
                <w:color w:val="686868"/>
                <w:kern w:val="0"/>
                <w:sz w:val="18"/>
                <w:szCs w:val="18"/>
              </w:rPr>
            </w:pPr>
          </w:p>
        </w:tc>
      </w:tr>
    </w:tbl>
    <w:p w:rsidR="00C93B41" w:rsidRPr="00C93B41" w:rsidRDefault="00C93B41" w:rsidP="00C93B41">
      <w:pPr>
        <w:widowControl/>
        <w:jc w:val="center"/>
        <w:rPr>
          <w:rFonts w:ascii="微软雅黑" w:eastAsia="微软雅黑" w:hAnsi="微软雅黑" w:cs="宋体"/>
          <w:color w:val="000000"/>
          <w:kern w:val="0"/>
          <w:sz w:val="18"/>
          <w:szCs w:val="18"/>
        </w:rPr>
      </w:pPr>
      <w:r w:rsidRPr="00C93B4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93B41" w:rsidRPr="00C93B41" w:rsidRDefault="00C93B41" w:rsidP="00C93B41">
      <w:pPr>
        <w:widowControl/>
        <w:shd w:val="clear" w:color="auto" w:fill="FFFFFF"/>
        <w:spacing w:after="240"/>
        <w:jc w:val="center"/>
        <w:rPr>
          <w:rFonts w:ascii="微软雅黑" w:eastAsia="微软雅黑" w:hAnsi="微软雅黑" w:cs="宋体" w:hint="eastAsia"/>
          <w:color w:val="000000"/>
          <w:kern w:val="0"/>
          <w:sz w:val="18"/>
          <w:szCs w:val="18"/>
        </w:rPr>
      </w:pPr>
      <w:r w:rsidRPr="00C93B41">
        <w:rPr>
          <w:rFonts w:ascii="微软雅黑" w:eastAsia="微软雅黑" w:hAnsi="微软雅黑" w:cs="宋体" w:hint="eastAsia"/>
          <w:color w:val="000000"/>
          <w:kern w:val="0"/>
          <w:sz w:val="18"/>
          <w:szCs w:val="18"/>
        </w:rPr>
        <w:br/>
      </w:r>
      <w:r w:rsidRPr="00C93B41">
        <w:rPr>
          <w:rFonts w:ascii="黑体" w:eastAsia="黑体" w:hAnsi="黑体" w:cs="宋体" w:hint="eastAsia"/>
          <w:b/>
          <w:bCs/>
          <w:color w:val="FF0000"/>
          <w:kern w:val="0"/>
          <w:sz w:val="36"/>
          <w:szCs w:val="36"/>
        </w:rPr>
        <w:t>中国证监会行政处罚决定书（林震森）</w:t>
      </w:r>
    </w:p>
    <w:p w:rsidR="00C93B41" w:rsidRPr="00C93B41" w:rsidRDefault="00C93B41" w:rsidP="00C93B41">
      <w:pPr>
        <w:widowControl/>
        <w:shd w:val="clear" w:color="auto" w:fill="FFFFFF"/>
        <w:spacing w:line="360" w:lineRule="atLeast"/>
        <w:jc w:val="center"/>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〔2018〕90号</w:t>
      </w:r>
    </w:p>
    <w:p w:rsidR="00C93B41" w:rsidRPr="00C93B41" w:rsidRDefault="00C93B41" w:rsidP="00C93B41">
      <w:pPr>
        <w:widowControl/>
        <w:shd w:val="clear" w:color="auto" w:fill="FFFFFF"/>
        <w:spacing w:line="360" w:lineRule="atLeast"/>
        <w:jc w:val="center"/>
        <w:rPr>
          <w:rFonts w:ascii="楷体" w:eastAsia="楷体" w:hAnsi="楷体" w:cs="宋体" w:hint="eastAsia"/>
          <w:color w:val="000000"/>
          <w:kern w:val="0"/>
          <w:sz w:val="24"/>
          <w:szCs w:val="24"/>
        </w:rPr>
      </w:pPr>
      <w:r w:rsidRPr="00C93B41">
        <w:rPr>
          <w:rFonts w:ascii="Calibri" w:eastAsia="楷体" w:hAnsi="Calibri" w:cs="Calibri"/>
          <w:color w:val="000000"/>
          <w:kern w:val="0"/>
          <w:sz w:val="24"/>
          <w:szCs w:val="24"/>
        </w:rPr>
        <w:t> </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当事人：林震森，男，1971年9月出生，时任上海万业企业股份有限公司（以下简称万业企业）董事，住址：上海市长宁区。</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依据《中华人民共和国证券法》（以下简称《证券法》）的有关规定，我会对林震森内幕交易“万业企业”的行为进行了立案调查、审理，并依法向当事人告知了</w:t>
      </w:r>
      <w:proofErr w:type="gramStart"/>
      <w:r w:rsidRPr="00C93B41">
        <w:rPr>
          <w:rFonts w:ascii="宋体" w:eastAsia="宋体" w:hAnsi="宋体" w:cs="宋体" w:hint="eastAsia"/>
          <w:color w:val="000000"/>
          <w:kern w:val="0"/>
          <w:szCs w:val="21"/>
        </w:rPr>
        <w:t>作出</w:t>
      </w:r>
      <w:proofErr w:type="gramEnd"/>
      <w:r w:rsidRPr="00C93B41">
        <w:rPr>
          <w:rFonts w:ascii="宋体" w:eastAsia="宋体" w:hAnsi="宋体" w:cs="宋体" w:hint="eastAsia"/>
          <w:color w:val="000000"/>
          <w:kern w:val="0"/>
          <w:szCs w:val="21"/>
        </w:rPr>
        <w:t>行政处罚的事实、理由、依据及当事人依法享有的权利。当事人林震森提出陈述和申辩意见，未要求听证。本案现已调查、审理终结。</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经查明，林震森存在以下违法事实：</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一、内幕信息的形成与公开过程</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基于寻找海外并购壳公司的需要，上海浦东科技投资有限公司（以下简称</w:t>
      </w:r>
      <w:proofErr w:type="gramStart"/>
      <w:r w:rsidRPr="00C93B41">
        <w:rPr>
          <w:rFonts w:ascii="宋体" w:eastAsia="宋体" w:hAnsi="宋体" w:cs="宋体" w:hint="eastAsia"/>
          <w:color w:val="000000"/>
          <w:kern w:val="0"/>
          <w:szCs w:val="21"/>
        </w:rPr>
        <w:t>浦东科</w:t>
      </w:r>
      <w:proofErr w:type="gramEnd"/>
      <w:r w:rsidRPr="00C93B41">
        <w:rPr>
          <w:rFonts w:ascii="宋体" w:eastAsia="宋体" w:hAnsi="宋体" w:cs="宋体" w:hint="eastAsia"/>
          <w:color w:val="000000"/>
          <w:kern w:val="0"/>
          <w:szCs w:val="21"/>
        </w:rPr>
        <w:t>投）管理合伙人李某将万业企业纳入了视野范围。2015年4、5月份，李某向上海朴易资产管理有限公司董事长尚某强（曾任万业企业总经理）表示，</w:t>
      </w:r>
      <w:proofErr w:type="gramStart"/>
      <w:r w:rsidRPr="00C93B41">
        <w:rPr>
          <w:rFonts w:ascii="宋体" w:eastAsia="宋体" w:hAnsi="宋体" w:cs="宋体" w:hint="eastAsia"/>
          <w:color w:val="000000"/>
          <w:kern w:val="0"/>
          <w:szCs w:val="21"/>
        </w:rPr>
        <w:t>浦东科</w:t>
      </w:r>
      <w:proofErr w:type="gramEnd"/>
      <w:r w:rsidRPr="00C93B41">
        <w:rPr>
          <w:rFonts w:ascii="宋体" w:eastAsia="宋体" w:hAnsi="宋体" w:cs="宋体" w:hint="eastAsia"/>
          <w:color w:val="000000"/>
          <w:kern w:val="0"/>
          <w:szCs w:val="21"/>
        </w:rPr>
        <w:t>投有意控股万业企业并合作项目，希望能与万业企业沟通该事项。之后，</w:t>
      </w:r>
      <w:proofErr w:type="gramStart"/>
      <w:r w:rsidRPr="00C93B41">
        <w:rPr>
          <w:rFonts w:ascii="宋体" w:eastAsia="宋体" w:hAnsi="宋体" w:cs="宋体" w:hint="eastAsia"/>
          <w:color w:val="000000"/>
          <w:kern w:val="0"/>
          <w:szCs w:val="21"/>
        </w:rPr>
        <w:t>尚某强将</w:t>
      </w:r>
      <w:proofErr w:type="gramEnd"/>
      <w:r w:rsidRPr="00C93B41">
        <w:rPr>
          <w:rFonts w:ascii="宋体" w:eastAsia="宋体" w:hAnsi="宋体" w:cs="宋体" w:hint="eastAsia"/>
          <w:color w:val="000000"/>
          <w:kern w:val="0"/>
          <w:szCs w:val="21"/>
        </w:rPr>
        <w:t>此事告诉万业企业董事长程某。程某表示万业企业一直想转型，可以进一步洽谈，并让万业企业董事林震森负责联系沟通。</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2015年5月26日，林震森到尚某强的办公室了解关于</w:t>
      </w:r>
      <w:proofErr w:type="gramStart"/>
      <w:r w:rsidRPr="00C93B41">
        <w:rPr>
          <w:rFonts w:ascii="宋体" w:eastAsia="宋体" w:hAnsi="宋体" w:cs="宋体" w:hint="eastAsia"/>
          <w:color w:val="000000"/>
          <w:kern w:val="0"/>
          <w:szCs w:val="21"/>
        </w:rPr>
        <w:t>浦东科</w:t>
      </w:r>
      <w:proofErr w:type="gramEnd"/>
      <w:r w:rsidRPr="00C93B41">
        <w:rPr>
          <w:rFonts w:ascii="宋体" w:eastAsia="宋体" w:hAnsi="宋体" w:cs="宋体" w:hint="eastAsia"/>
          <w:color w:val="000000"/>
          <w:kern w:val="0"/>
          <w:szCs w:val="21"/>
        </w:rPr>
        <w:t>投的相关情况，尚某强表示</w:t>
      </w:r>
      <w:proofErr w:type="gramStart"/>
      <w:r w:rsidRPr="00C93B41">
        <w:rPr>
          <w:rFonts w:ascii="宋体" w:eastAsia="宋体" w:hAnsi="宋体" w:cs="宋体" w:hint="eastAsia"/>
          <w:color w:val="000000"/>
          <w:kern w:val="0"/>
          <w:szCs w:val="21"/>
        </w:rPr>
        <w:t>浦东科投想</w:t>
      </w:r>
      <w:proofErr w:type="gramEnd"/>
      <w:r w:rsidRPr="00C93B41">
        <w:rPr>
          <w:rFonts w:ascii="宋体" w:eastAsia="宋体" w:hAnsi="宋体" w:cs="宋体" w:hint="eastAsia"/>
          <w:color w:val="000000"/>
          <w:kern w:val="0"/>
          <w:szCs w:val="21"/>
        </w:rPr>
        <w:t>找一个壳公司并看好万业企业这个壳，有意与万业企业合作。</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2015年5月29日晚，</w:t>
      </w:r>
      <w:proofErr w:type="gramStart"/>
      <w:r w:rsidRPr="00C93B41">
        <w:rPr>
          <w:rFonts w:ascii="宋体" w:eastAsia="宋体" w:hAnsi="宋体" w:cs="宋体" w:hint="eastAsia"/>
          <w:color w:val="000000"/>
          <w:kern w:val="0"/>
          <w:szCs w:val="21"/>
        </w:rPr>
        <w:t>浦东科投管理</w:t>
      </w:r>
      <w:proofErr w:type="gramEnd"/>
      <w:r w:rsidRPr="00C93B41">
        <w:rPr>
          <w:rFonts w:ascii="宋体" w:eastAsia="宋体" w:hAnsi="宋体" w:cs="宋体" w:hint="eastAsia"/>
          <w:color w:val="000000"/>
          <w:kern w:val="0"/>
          <w:szCs w:val="21"/>
        </w:rPr>
        <w:t>合伙人李某军、投资总监梁某钴、李某、尚某强和林震森等五人会面。期间，林震森介绍了万业企业及其控股股东三林万业（上海）企业集团有限公司（以下简称三林万业）的基本情况和业务状况；李某介绍了</w:t>
      </w:r>
      <w:proofErr w:type="gramStart"/>
      <w:r w:rsidRPr="00C93B41">
        <w:rPr>
          <w:rFonts w:ascii="宋体" w:eastAsia="宋体" w:hAnsi="宋体" w:cs="宋体" w:hint="eastAsia"/>
          <w:color w:val="000000"/>
          <w:kern w:val="0"/>
          <w:szCs w:val="21"/>
        </w:rPr>
        <w:t>浦东科</w:t>
      </w:r>
      <w:proofErr w:type="gramEnd"/>
      <w:r w:rsidRPr="00C93B41">
        <w:rPr>
          <w:rFonts w:ascii="宋体" w:eastAsia="宋体" w:hAnsi="宋体" w:cs="宋体" w:hint="eastAsia"/>
          <w:color w:val="000000"/>
          <w:kern w:val="0"/>
          <w:szCs w:val="21"/>
        </w:rPr>
        <w:t>投的背景、收购业绩等情况，并重点介绍了拟收购境外集成电路企业UTAC公司的情况，表示</w:t>
      </w:r>
      <w:proofErr w:type="gramStart"/>
      <w:r w:rsidRPr="00C93B41">
        <w:rPr>
          <w:rFonts w:ascii="宋体" w:eastAsia="宋体" w:hAnsi="宋体" w:cs="宋体" w:hint="eastAsia"/>
          <w:color w:val="000000"/>
          <w:kern w:val="0"/>
          <w:szCs w:val="21"/>
        </w:rPr>
        <w:t>浦东科投可以通过定增</w:t>
      </w:r>
      <w:proofErr w:type="gramEnd"/>
      <w:r w:rsidRPr="00C93B41">
        <w:rPr>
          <w:rFonts w:ascii="宋体" w:eastAsia="宋体" w:hAnsi="宋体" w:cs="宋体" w:hint="eastAsia"/>
          <w:color w:val="000000"/>
          <w:kern w:val="0"/>
          <w:szCs w:val="21"/>
        </w:rPr>
        <w:t>或其他方式与万业企业深入合作。</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2015年6月1日，林震森向程某汇报了</w:t>
      </w:r>
      <w:proofErr w:type="gramStart"/>
      <w:r w:rsidRPr="00C93B41">
        <w:rPr>
          <w:rFonts w:ascii="宋体" w:eastAsia="宋体" w:hAnsi="宋体" w:cs="宋体" w:hint="eastAsia"/>
          <w:color w:val="000000"/>
          <w:kern w:val="0"/>
          <w:szCs w:val="21"/>
        </w:rPr>
        <w:t>浦东科</w:t>
      </w:r>
      <w:proofErr w:type="gramEnd"/>
      <w:r w:rsidRPr="00C93B41">
        <w:rPr>
          <w:rFonts w:ascii="宋体" w:eastAsia="宋体" w:hAnsi="宋体" w:cs="宋体" w:hint="eastAsia"/>
          <w:color w:val="000000"/>
          <w:kern w:val="0"/>
          <w:szCs w:val="21"/>
        </w:rPr>
        <w:t>投的基本情况，以及万业企业拟发行股份收购境外标的资产的合作意向。</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lastRenderedPageBreak/>
        <w:t>2015年6月5日，程某、林震森、万业企业副董事长金某良等四人向万业企业实际控制人林某生汇报了</w:t>
      </w:r>
      <w:proofErr w:type="gramStart"/>
      <w:r w:rsidRPr="00C93B41">
        <w:rPr>
          <w:rFonts w:ascii="宋体" w:eastAsia="宋体" w:hAnsi="宋体" w:cs="宋体" w:hint="eastAsia"/>
          <w:color w:val="000000"/>
          <w:kern w:val="0"/>
          <w:szCs w:val="21"/>
        </w:rPr>
        <w:t>浦东科</w:t>
      </w:r>
      <w:proofErr w:type="gramEnd"/>
      <w:r w:rsidRPr="00C93B41">
        <w:rPr>
          <w:rFonts w:ascii="宋体" w:eastAsia="宋体" w:hAnsi="宋体" w:cs="宋体" w:hint="eastAsia"/>
          <w:color w:val="000000"/>
          <w:kern w:val="0"/>
          <w:szCs w:val="21"/>
        </w:rPr>
        <w:t>投与万业企业合作收购UTAC公司的意向。对此，林某</w:t>
      </w:r>
      <w:proofErr w:type="gramStart"/>
      <w:r w:rsidRPr="00C93B41">
        <w:rPr>
          <w:rFonts w:ascii="宋体" w:eastAsia="宋体" w:hAnsi="宋体" w:cs="宋体" w:hint="eastAsia"/>
          <w:color w:val="000000"/>
          <w:kern w:val="0"/>
          <w:szCs w:val="21"/>
        </w:rPr>
        <w:t>生初步</w:t>
      </w:r>
      <w:proofErr w:type="gramEnd"/>
      <w:r w:rsidRPr="00C93B41">
        <w:rPr>
          <w:rFonts w:ascii="宋体" w:eastAsia="宋体" w:hAnsi="宋体" w:cs="宋体" w:hint="eastAsia"/>
          <w:color w:val="000000"/>
          <w:kern w:val="0"/>
          <w:szCs w:val="21"/>
        </w:rPr>
        <w:t>同意转让万业企业的控制权给</w:t>
      </w:r>
      <w:proofErr w:type="gramStart"/>
      <w:r w:rsidRPr="00C93B41">
        <w:rPr>
          <w:rFonts w:ascii="宋体" w:eastAsia="宋体" w:hAnsi="宋体" w:cs="宋体" w:hint="eastAsia"/>
          <w:color w:val="000000"/>
          <w:kern w:val="0"/>
          <w:szCs w:val="21"/>
        </w:rPr>
        <w:t>浦东科</w:t>
      </w:r>
      <w:proofErr w:type="gramEnd"/>
      <w:r w:rsidRPr="00C93B41">
        <w:rPr>
          <w:rFonts w:ascii="宋体" w:eastAsia="宋体" w:hAnsi="宋体" w:cs="宋体" w:hint="eastAsia"/>
          <w:color w:val="000000"/>
          <w:kern w:val="0"/>
          <w:szCs w:val="21"/>
        </w:rPr>
        <w:t>投，并请程某视情况而定。</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2015年6月11日，</w:t>
      </w:r>
      <w:proofErr w:type="gramStart"/>
      <w:r w:rsidRPr="00C93B41">
        <w:rPr>
          <w:rFonts w:ascii="宋体" w:eastAsia="宋体" w:hAnsi="宋体" w:cs="宋体" w:hint="eastAsia"/>
          <w:color w:val="000000"/>
          <w:kern w:val="0"/>
          <w:szCs w:val="21"/>
        </w:rPr>
        <w:t>浦东科</w:t>
      </w:r>
      <w:proofErr w:type="gramEnd"/>
      <w:r w:rsidRPr="00C93B41">
        <w:rPr>
          <w:rFonts w:ascii="宋体" w:eastAsia="宋体" w:hAnsi="宋体" w:cs="宋体" w:hint="eastAsia"/>
          <w:color w:val="000000"/>
          <w:kern w:val="0"/>
          <w:szCs w:val="21"/>
        </w:rPr>
        <w:t>投董事长朱某东及李某等四人与程某、金某良、林震森等人进行会谈，洽谈内容主要包括：万业企业以一定的价格转让股份给</w:t>
      </w:r>
      <w:proofErr w:type="gramStart"/>
      <w:r w:rsidRPr="00C93B41">
        <w:rPr>
          <w:rFonts w:ascii="宋体" w:eastAsia="宋体" w:hAnsi="宋体" w:cs="宋体" w:hint="eastAsia"/>
          <w:color w:val="000000"/>
          <w:kern w:val="0"/>
          <w:szCs w:val="21"/>
        </w:rPr>
        <w:t>浦东科</w:t>
      </w:r>
      <w:proofErr w:type="gramEnd"/>
      <w:r w:rsidRPr="00C93B41">
        <w:rPr>
          <w:rFonts w:ascii="宋体" w:eastAsia="宋体" w:hAnsi="宋体" w:cs="宋体" w:hint="eastAsia"/>
          <w:color w:val="000000"/>
          <w:kern w:val="0"/>
          <w:szCs w:val="21"/>
        </w:rPr>
        <w:t>投及转让的比例；</w:t>
      </w:r>
      <w:proofErr w:type="gramStart"/>
      <w:r w:rsidRPr="00C93B41">
        <w:rPr>
          <w:rFonts w:ascii="宋体" w:eastAsia="宋体" w:hAnsi="宋体" w:cs="宋体" w:hint="eastAsia"/>
          <w:color w:val="000000"/>
          <w:kern w:val="0"/>
          <w:szCs w:val="21"/>
        </w:rPr>
        <w:t>浦东科</w:t>
      </w:r>
      <w:proofErr w:type="gramEnd"/>
      <w:r w:rsidRPr="00C93B41">
        <w:rPr>
          <w:rFonts w:ascii="宋体" w:eastAsia="宋体" w:hAnsi="宋体" w:cs="宋体" w:hint="eastAsia"/>
          <w:color w:val="000000"/>
          <w:kern w:val="0"/>
          <w:szCs w:val="21"/>
        </w:rPr>
        <w:t>投已经获得UTAC公司的一个锁定价格，万业企业按一定价格发行股份给</w:t>
      </w:r>
      <w:proofErr w:type="gramStart"/>
      <w:r w:rsidRPr="00C93B41">
        <w:rPr>
          <w:rFonts w:ascii="宋体" w:eastAsia="宋体" w:hAnsi="宋体" w:cs="宋体" w:hint="eastAsia"/>
          <w:color w:val="000000"/>
          <w:kern w:val="0"/>
          <w:szCs w:val="21"/>
        </w:rPr>
        <w:t>浦东科</w:t>
      </w:r>
      <w:proofErr w:type="gramEnd"/>
      <w:r w:rsidRPr="00C93B41">
        <w:rPr>
          <w:rFonts w:ascii="宋体" w:eastAsia="宋体" w:hAnsi="宋体" w:cs="宋体" w:hint="eastAsia"/>
          <w:color w:val="000000"/>
          <w:kern w:val="0"/>
          <w:szCs w:val="21"/>
        </w:rPr>
        <w:t>投，</w:t>
      </w:r>
      <w:proofErr w:type="gramStart"/>
      <w:r w:rsidRPr="00C93B41">
        <w:rPr>
          <w:rFonts w:ascii="宋体" w:eastAsia="宋体" w:hAnsi="宋体" w:cs="宋体" w:hint="eastAsia"/>
          <w:color w:val="000000"/>
          <w:kern w:val="0"/>
          <w:szCs w:val="21"/>
        </w:rPr>
        <w:t>浦东科</w:t>
      </w:r>
      <w:proofErr w:type="gramEnd"/>
      <w:r w:rsidRPr="00C93B41">
        <w:rPr>
          <w:rFonts w:ascii="宋体" w:eastAsia="宋体" w:hAnsi="宋体" w:cs="宋体" w:hint="eastAsia"/>
          <w:color w:val="000000"/>
          <w:kern w:val="0"/>
          <w:szCs w:val="21"/>
        </w:rPr>
        <w:t>投与万业企业联合收购UTAC公司。因上述洽谈事项敏感，为防止股价波动，程某当即通知万业企业</w:t>
      </w:r>
      <w:proofErr w:type="gramStart"/>
      <w:r w:rsidRPr="00C93B41">
        <w:rPr>
          <w:rFonts w:ascii="宋体" w:eastAsia="宋体" w:hAnsi="宋体" w:cs="宋体" w:hint="eastAsia"/>
          <w:color w:val="000000"/>
          <w:kern w:val="0"/>
          <w:szCs w:val="21"/>
        </w:rPr>
        <w:t>董秘安排</w:t>
      </w:r>
      <w:proofErr w:type="gramEnd"/>
      <w:r w:rsidRPr="00C93B41">
        <w:rPr>
          <w:rFonts w:ascii="宋体" w:eastAsia="宋体" w:hAnsi="宋体" w:cs="宋体" w:hint="eastAsia"/>
          <w:color w:val="000000"/>
          <w:kern w:val="0"/>
          <w:szCs w:val="21"/>
        </w:rPr>
        <w:t>上市公司停牌事宜。</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2015年6月12日，万业企业发布《重大事项停牌公告》（临2015-016），称控股股东三林万业正在筹划重大事项，自2015年6月12日开市起的五个工作日停牌。</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2015年7月20日，万业企业发布《重大资产重组继续停牌公告》（临2015-022），</w:t>
      </w:r>
      <w:proofErr w:type="gramStart"/>
      <w:r w:rsidRPr="00C93B41">
        <w:rPr>
          <w:rFonts w:ascii="宋体" w:eastAsia="宋体" w:hAnsi="宋体" w:cs="宋体" w:hint="eastAsia"/>
          <w:color w:val="000000"/>
          <w:kern w:val="0"/>
          <w:szCs w:val="21"/>
        </w:rPr>
        <w:t>称上市</w:t>
      </w:r>
      <w:proofErr w:type="gramEnd"/>
      <w:r w:rsidRPr="00C93B41">
        <w:rPr>
          <w:rFonts w:ascii="宋体" w:eastAsia="宋体" w:hAnsi="宋体" w:cs="宋体" w:hint="eastAsia"/>
          <w:color w:val="000000"/>
          <w:kern w:val="0"/>
          <w:szCs w:val="21"/>
        </w:rPr>
        <w:t>公司重大资产重组交易对方为拥有标的资产的第三方，交易方式为发行股份购买资产，标的资产</w:t>
      </w:r>
      <w:proofErr w:type="gramStart"/>
      <w:r w:rsidRPr="00C93B41">
        <w:rPr>
          <w:rFonts w:ascii="宋体" w:eastAsia="宋体" w:hAnsi="宋体" w:cs="宋体" w:hint="eastAsia"/>
          <w:color w:val="000000"/>
          <w:kern w:val="0"/>
          <w:szCs w:val="21"/>
        </w:rPr>
        <w:t>属电子</w:t>
      </w:r>
      <w:proofErr w:type="gramEnd"/>
      <w:r w:rsidRPr="00C93B41">
        <w:rPr>
          <w:rFonts w:ascii="宋体" w:eastAsia="宋体" w:hAnsi="宋体" w:cs="宋体" w:hint="eastAsia"/>
          <w:color w:val="000000"/>
          <w:kern w:val="0"/>
          <w:szCs w:val="21"/>
        </w:rPr>
        <w:t>行业。</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2015年11月17日，万业企业发布《关于第一大股东股权转让提示性公告》（临2015-046），称控股股东三林万业与</w:t>
      </w:r>
      <w:proofErr w:type="gramStart"/>
      <w:r w:rsidRPr="00C93B41">
        <w:rPr>
          <w:rFonts w:ascii="宋体" w:eastAsia="宋体" w:hAnsi="宋体" w:cs="宋体" w:hint="eastAsia"/>
          <w:color w:val="000000"/>
          <w:kern w:val="0"/>
          <w:szCs w:val="21"/>
        </w:rPr>
        <w:t>浦东科</w:t>
      </w:r>
      <w:proofErr w:type="gramEnd"/>
      <w:r w:rsidRPr="00C93B41">
        <w:rPr>
          <w:rFonts w:ascii="宋体" w:eastAsia="宋体" w:hAnsi="宋体" w:cs="宋体" w:hint="eastAsia"/>
          <w:color w:val="000000"/>
          <w:kern w:val="0"/>
          <w:szCs w:val="21"/>
        </w:rPr>
        <w:t>投于2015年11月16日签署《关于上海万业企业股份有限公司之股份转让协议》，约定三林万业拟将其持有的万业企业股份227,000,000股转让给</w:t>
      </w:r>
      <w:proofErr w:type="gramStart"/>
      <w:r w:rsidRPr="00C93B41">
        <w:rPr>
          <w:rFonts w:ascii="宋体" w:eastAsia="宋体" w:hAnsi="宋体" w:cs="宋体" w:hint="eastAsia"/>
          <w:color w:val="000000"/>
          <w:kern w:val="0"/>
          <w:szCs w:val="21"/>
        </w:rPr>
        <w:t>浦东科</w:t>
      </w:r>
      <w:proofErr w:type="gramEnd"/>
      <w:r w:rsidRPr="00C93B41">
        <w:rPr>
          <w:rFonts w:ascii="宋体" w:eastAsia="宋体" w:hAnsi="宋体" w:cs="宋体" w:hint="eastAsia"/>
          <w:color w:val="000000"/>
          <w:kern w:val="0"/>
          <w:szCs w:val="21"/>
        </w:rPr>
        <w:t>投。转让完成后，</w:t>
      </w:r>
      <w:proofErr w:type="gramStart"/>
      <w:r w:rsidRPr="00C93B41">
        <w:rPr>
          <w:rFonts w:ascii="宋体" w:eastAsia="宋体" w:hAnsi="宋体" w:cs="宋体" w:hint="eastAsia"/>
          <w:color w:val="000000"/>
          <w:kern w:val="0"/>
          <w:szCs w:val="21"/>
        </w:rPr>
        <w:t>浦东科</w:t>
      </w:r>
      <w:proofErr w:type="gramEnd"/>
      <w:r w:rsidRPr="00C93B41">
        <w:rPr>
          <w:rFonts w:ascii="宋体" w:eastAsia="宋体" w:hAnsi="宋体" w:cs="宋体" w:hint="eastAsia"/>
          <w:color w:val="000000"/>
          <w:kern w:val="0"/>
          <w:szCs w:val="21"/>
        </w:rPr>
        <w:t>投持股比例为28.16%，成为万业企业第一大股东。同日，万业企业又发布《关于终止重大资产重组事项的公告》（临2015-044），称因重组事项涉及诸多法律问题和技术问题，涉及多个国家和地区，在规定时限内公司难以完成所需相关工作，公司决定终止本次重大资产重组事项。</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万业企业通过发行股份购买资产的方式与</w:t>
      </w:r>
      <w:proofErr w:type="gramStart"/>
      <w:r w:rsidRPr="00C93B41">
        <w:rPr>
          <w:rFonts w:ascii="宋体" w:eastAsia="宋体" w:hAnsi="宋体" w:cs="宋体" w:hint="eastAsia"/>
          <w:color w:val="000000"/>
          <w:kern w:val="0"/>
          <w:szCs w:val="21"/>
        </w:rPr>
        <w:t>浦东科投联合</w:t>
      </w:r>
      <w:proofErr w:type="gramEnd"/>
      <w:r w:rsidRPr="00C93B41">
        <w:rPr>
          <w:rFonts w:ascii="宋体" w:eastAsia="宋体" w:hAnsi="宋体" w:cs="宋体" w:hint="eastAsia"/>
          <w:color w:val="000000"/>
          <w:kern w:val="0"/>
          <w:szCs w:val="21"/>
        </w:rPr>
        <w:t>收购UTAC公司，以及</w:t>
      </w:r>
      <w:proofErr w:type="gramStart"/>
      <w:r w:rsidRPr="00C93B41">
        <w:rPr>
          <w:rFonts w:ascii="宋体" w:eastAsia="宋体" w:hAnsi="宋体" w:cs="宋体" w:hint="eastAsia"/>
          <w:color w:val="000000"/>
          <w:kern w:val="0"/>
          <w:szCs w:val="21"/>
        </w:rPr>
        <w:t>浦东科</w:t>
      </w:r>
      <w:proofErr w:type="gramEnd"/>
      <w:r w:rsidRPr="00C93B41">
        <w:rPr>
          <w:rFonts w:ascii="宋体" w:eastAsia="宋体" w:hAnsi="宋体" w:cs="宋体" w:hint="eastAsia"/>
          <w:color w:val="000000"/>
          <w:kern w:val="0"/>
          <w:szCs w:val="21"/>
        </w:rPr>
        <w:t>投控股万业企业，分别属于《证券法》第六十七条第二款第二项“公司的重大投资行为和重大的购置财产的决定”，以及第七十五条第二款第三项“公司股权结构的重大变化”，构成《证券法》第七十五条第二款规定的内幕信息。该内幕信息形成不晚于2015年5月29日，分别于2015年7月20日和11月17日公开。林震森时任万业企业董事，是本次重大资产重组的主要参与者，是内幕信息知情人。</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二、林震森内幕交易“万业企业”</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（一）</w:t>
      </w:r>
      <w:proofErr w:type="gramStart"/>
      <w:r w:rsidRPr="00C93B41">
        <w:rPr>
          <w:rFonts w:ascii="宋体" w:eastAsia="宋体" w:hAnsi="宋体" w:cs="宋体" w:hint="eastAsia"/>
          <w:color w:val="000000"/>
          <w:kern w:val="0"/>
          <w:szCs w:val="21"/>
        </w:rPr>
        <w:t>上海冠源企业管理</w:t>
      </w:r>
      <w:proofErr w:type="gramEnd"/>
      <w:r w:rsidRPr="00C93B41">
        <w:rPr>
          <w:rFonts w:ascii="宋体" w:eastAsia="宋体" w:hAnsi="宋体" w:cs="宋体" w:hint="eastAsia"/>
          <w:color w:val="000000"/>
          <w:kern w:val="0"/>
          <w:szCs w:val="21"/>
        </w:rPr>
        <w:t>有限公司（以下</w:t>
      </w:r>
      <w:proofErr w:type="gramStart"/>
      <w:r w:rsidRPr="00C93B41">
        <w:rPr>
          <w:rFonts w:ascii="宋体" w:eastAsia="宋体" w:hAnsi="宋体" w:cs="宋体" w:hint="eastAsia"/>
          <w:color w:val="000000"/>
          <w:kern w:val="0"/>
          <w:szCs w:val="21"/>
        </w:rPr>
        <w:t>简称冠源企业</w:t>
      </w:r>
      <w:proofErr w:type="gramEnd"/>
      <w:r w:rsidRPr="00C93B41">
        <w:rPr>
          <w:rFonts w:ascii="宋体" w:eastAsia="宋体" w:hAnsi="宋体" w:cs="宋体" w:hint="eastAsia"/>
          <w:color w:val="000000"/>
          <w:kern w:val="0"/>
          <w:szCs w:val="21"/>
        </w:rPr>
        <w:t>）和上海福信投资咨询有限公司（以下</w:t>
      </w:r>
      <w:proofErr w:type="gramStart"/>
      <w:r w:rsidRPr="00C93B41">
        <w:rPr>
          <w:rFonts w:ascii="宋体" w:eastAsia="宋体" w:hAnsi="宋体" w:cs="宋体" w:hint="eastAsia"/>
          <w:color w:val="000000"/>
          <w:kern w:val="0"/>
          <w:szCs w:val="21"/>
        </w:rPr>
        <w:t>简称福信咨询</w:t>
      </w:r>
      <w:proofErr w:type="gramEnd"/>
      <w:r w:rsidRPr="00C93B41">
        <w:rPr>
          <w:rFonts w:ascii="宋体" w:eastAsia="宋体" w:hAnsi="宋体" w:cs="宋体" w:hint="eastAsia"/>
          <w:color w:val="000000"/>
          <w:kern w:val="0"/>
          <w:szCs w:val="21"/>
        </w:rPr>
        <w:t>）证券账户基本情况</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2008年6月25日，</w:t>
      </w:r>
      <w:proofErr w:type="gramStart"/>
      <w:r w:rsidRPr="00C93B41">
        <w:rPr>
          <w:rFonts w:ascii="宋体" w:eastAsia="宋体" w:hAnsi="宋体" w:cs="宋体" w:hint="eastAsia"/>
          <w:color w:val="000000"/>
          <w:kern w:val="0"/>
          <w:szCs w:val="21"/>
        </w:rPr>
        <w:t>冠源企业</w:t>
      </w:r>
      <w:proofErr w:type="gramEnd"/>
      <w:r w:rsidRPr="00C93B41">
        <w:rPr>
          <w:rFonts w:ascii="宋体" w:eastAsia="宋体" w:hAnsi="宋体" w:cs="宋体" w:hint="eastAsia"/>
          <w:color w:val="000000"/>
          <w:kern w:val="0"/>
          <w:szCs w:val="21"/>
        </w:rPr>
        <w:t>在中</w:t>
      </w:r>
      <w:proofErr w:type="gramStart"/>
      <w:r w:rsidRPr="00C93B41">
        <w:rPr>
          <w:rFonts w:ascii="宋体" w:eastAsia="宋体" w:hAnsi="宋体" w:cs="宋体" w:hint="eastAsia"/>
          <w:color w:val="000000"/>
          <w:kern w:val="0"/>
          <w:szCs w:val="21"/>
        </w:rPr>
        <w:t>信建投证券</w:t>
      </w:r>
      <w:proofErr w:type="gramEnd"/>
      <w:r w:rsidRPr="00C93B41">
        <w:rPr>
          <w:rFonts w:ascii="宋体" w:eastAsia="宋体" w:hAnsi="宋体" w:cs="宋体" w:hint="eastAsia"/>
          <w:color w:val="000000"/>
          <w:kern w:val="0"/>
          <w:szCs w:val="21"/>
        </w:rPr>
        <w:t>股份有限公司上海福山路营业部开立证券账户，下挂上海股东账户B88xxxx635、深圳股东账户080xxxx033，资金账号50xxx31。同日，</w:t>
      </w:r>
      <w:proofErr w:type="gramStart"/>
      <w:r w:rsidRPr="00C93B41">
        <w:rPr>
          <w:rFonts w:ascii="宋体" w:eastAsia="宋体" w:hAnsi="宋体" w:cs="宋体" w:hint="eastAsia"/>
          <w:color w:val="000000"/>
          <w:kern w:val="0"/>
          <w:szCs w:val="21"/>
        </w:rPr>
        <w:t>福信咨询</w:t>
      </w:r>
      <w:proofErr w:type="gramEnd"/>
      <w:r w:rsidRPr="00C93B41">
        <w:rPr>
          <w:rFonts w:ascii="宋体" w:eastAsia="宋体" w:hAnsi="宋体" w:cs="宋体" w:hint="eastAsia"/>
          <w:color w:val="000000"/>
          <w:kern w:val="0"/>
          <w:szCs w:val="21"/>
        </w:rPr>
        <w:t>在上海证券有限责任公司上海临平路营业部开立证券账户，下挂上海股东账户B88xxxx796、深圳股东账户080xxxx133，资金账号1001xxxxxx8001。</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（二）林震森控制“冠源企业”和“福信咨询”证券账户交易“万业企业”情况</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C93B41">
        <w:rPr>
          <w:rFonts w:ascii="宋体" w:eastAsia="宋体" w:hAnsi="宋体" w:cs="宋体" w:hint="eastAsia"/>
          <w:color w:val="000000"/>
          <w:kern w:val="0"/>
          <w:szCs w:val="21"/>
        </w:rPr>
        <w:t>冠源企业</w:t>
      </w:r>
      <w:proofErr w:type="gramEnd"/>
      <w:r w:rsidRPr="00C93B41">
        <w:rPr>
          <w:rFonts w:ascii="宋体" w:eastAsia="宋体" w:hAnsi="宋体" w:cs="宋体" w:hint="eastAsia"/>
          <w:color w:val="000000"/>
          <w:kern w:val="0"/>
          <w:szCs w:val="21"/>
        </w:rPr>
        <w:t>和</w:t>
      </w:r>
      <w:proofErr w:type="gramStart"/>
      <w:r w:rsidRPr="00C93B41">
        <w:rPr>
          <w:rFonts w:ascii="宋体" w:eastAsia="宋体" w:hAnsi="宋体" w:cs="宋体" w:hint="eastAsia"/>
          <w:color w:val="000000"/>
          <w:kern w:val="0"/>
          <w:szCs w:val="21"/>
        </w:rPr>
        <w:t>福信咨询</w:t>
      </w:r>
      <w:proofErr w:type="gramEnd"/>
      <w:r w:rsidRPr="00C93B41">
        <w:rPr>
          <w:rFonts w:ascii="宋体" w:eastAsia="宋体" w:hAnsi="宋体" w:cs="宋体" w:hint="eastAsia"/>
          <w:color w:val="000000"/>
          <w:kern w:val="0"/>
          <w:szCs w:val="21"/>
        </w:rPr>
        <w:t>均系一人有限责任公司，其法定代表人分别为吴某文和游某宁。吴某文和游某宁分别将“冠源企业”、“福信咨询”证券账户委托给金某良，金某良又委托林震森管理和交易上述两个证券账户。“冠源企业”和“福信咨询”两个证券账户交易“万业</w:t>
      </w:r>
      <w:r w:rsidRPr="00C93B41">
        <w:rPr>
          <w:rFonts w:ascii="宋体" w:eastAsia="宋体" w:hAnsi="宋体" w:cs="宋体" w:hint="eastAsia"/>
          <w:color w:val="000000"/>
          <w:kern w:val="0"/>
          <w:szCs w:val="21"/>
        </w:rPr>
        <w:lastRenderedPageBreak/>
        <w:t>企业”的Mac地址、硬盘序列号与林震森本人笔记本电脑的Mac地址、硬盘序列号一致，可以认定林震森控制两个证券账户交易“万业企业”。</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2015年5月29日至2015年6月11日，“冠源企业”和“福信咨询”两个账户累计买入“万业企业”444,927股，买入成交金额为4,518,489.60元。截至2018年3月19日，两个账户共计获利2,865,646.42元，其中，“冠源企业”账户获利1,746,800.36元，“福信咨询”账户获利1,118,846.06元。</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以上事实，有万业企业公告，当事人询问笔录，当事人证券账户资料、交易流水、Mac地址、硬盘序列号、银行账户资料等证据证明，足以认定。</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林震森的上述行为违反《证券法》第七十三条、第七十六条第一款的规定，构成《证券法》第二百零二条所述“证券交易内幕信息的知情人或者非法获取内幕信息的人，在涉及证券的发行、交易或者其他对证券的价格有重大影响的信息公开前，买卖该证券”的行为。</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三、当事人陈述申辩意见及我会意见</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当事人林震森提出如下陈述申辩意见：</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第一，关于违法所得计算。林震森主张其在内幕信息敏感期内买入的444,927股“万业企业”中，实际卖出的99,200股所获收益属于内幕交易违法所得，没有卖出的345,727股的账面收益不属于内幕交易违法所得。此外，林震森认为其在内幕信息敏感期内买入股票的后期分红收益，不应计入违法所得。</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第二，关于从轻、减轻处罚。林震森主张其积极配合我会调查，按照我会要求提供资料、制作询问笔录等。在我会仅调查“冠源企业”证券账户的情况下，其主动向调查人员提交了有关“福信咨询”证券账户的交易资料，并承认该账户也在内幕信息敏感期内交易了“万业企业”。上述行为构成《行政处罚法》第二十七条第一款第（一）、（三）项情形以及《证券市场禁入规定》第七条第（一）、（二）项情形，请求我会给予从轻或减轻处罚。</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针对以上陈述申辩意见，我会认为：</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第一，关于违法所得计算。根据我会一贯做法，在对涉案账户计算违法所得时，不仅要计算卖出证券产生的实际获利，还应对持有证券计算账面获利。同时，分红属于涉案证券获得的</w:t>
      </w:r>
      <w:proofErr w:type="gramStart"/>
      <w:r w:rsidRPr="00C93B41">
        <w:rPr>
          <w:rFonts w:ascii="宋体" w:eastAsia="宋体" w:hAnsi="宋体" w:cs="宋体" w:hint="eastAsia"/>
          <w:color w:val="000000"/>
          <w:kern w:val="0"/>
          <w:szCs w:val="21"/>
        </w:rPr>
        <w:t>孳</w:t>
      </w:r>
      <w:proofErr w:type="gramEnd"/>
      <w:r w:rsidRPr="00C93B41">
        <w:rPr>
          <w:rFonts w:ascii="宋体" w:eastAsia="宋体" w:hAnsi="宋体" w:cs="宋体" w:hint="eastAsia"/>
          <w:color w:val="000000"/>
          <w:kern w:val="0"/>
          <w:szCs w:val="21"/>
        </w:rPr>
        <w:t>息收益，同样具有违法性，应一并纳入违法所得进行计算。当事人关于违法所得计算的主张缺乏依据，我会不予采纳。</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第二，关于从轻、减轻处罚。经核实，当事人的确存在积极配合调查及主动交待我会未掌握的违法事实的情况。上述情节虽不属于《行政处罚法》第二十七条及《证券市场禁入规定》第七条规定的情形，但是林</w:t>
      </w:r>
      <w:proofErr w:type="gramStart"/>
      <w:r w:rsidRPr="00C93B41">
        <w:rPr>
          <w:rFonts w:ascii="宋体" w:eastAsia="宋体" w:hAnsi="宋体" w:cs="宋体" w:hint="eastAsia"/>
          <w:color w:val="000000"/>
          <w:kern w:val="0"/>
          <w:szCs w:val="21"/>
        </w:rPr>
        <w:t>震森主动</w:t>
      </w:r>
      <w:proofErr w:type="gramEnd"/>
      <w:r w:rsidRPr="00C93B41">
        <w:rPr>
          <w:rFonts w:ascii="宋体" w:eastAsia="宋体" w:hAnsi="宋体" w:cs="宋体" w:hint="eastAsia"/>
          <w:color w:val="000000"/>
          <w:kern w:val="0"/>
          <w:szCs w:val="21"/>
        </w:rPr>
        <w:t>交待我会未掌握的违法事实的行为，系其主动悔过的表现，为体现处罚与教育相结合的原则，我会决定采纳当事人的陈述申辩意见，对其酌定予以从轻处罚。</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根据</w:t>
      </w:r>
      <w:proofErr w:type="gramStart"/>
      <w:r w:rsidRPr="00C93B41">
        <w:rPr>
          <w:rFonts w:ascii="宋体" w:eastAsia="宋体" w:hAnsi="宋体" w:cs="宋体" w:hint="eastAsia"/>
          <w:color w:val="000000"/>
          <w:kern w:val="0"/>
          <w:szCs w:val="21"/>
        </w:rPr>
        <w:t>林震森违法行为</w:t>
      </w:r>
      <w:proofErr w:type="gramEnd"/>
      <w:r w:rsidRPr="00C93B41">
        <w:rPr>
          <w:rFonts w:ascii="宋体" w:eastAsia="宋体" w:hAnsi="宋体" w:cs="宋体" w:hint="eastAsia"/>
          <w:color w:val="000000"/>
          <w:kern w:val="0"/>
          <w:szCs w:val="21"/>
        </w:rPr>
        <w:t>的事实、性质、情节与社会危害程度，依据《证券法》第二百零二条的规定，我会决定：责令林</w:t>
      </w:r>
      <w:proofErr w:type="gramStart"/>
      <w:r w:rsidRPr="00C93B41">
        <w:rPr>
          <w:rFonts w:ascii="宋体" w:eastAsia="宋体" w:hAnsi="宋体" w:cs="宋体" w:hint="eastAsia"/>
          <w:color w:val="000000"/>
          <w:kern w:val="0"/>
          <w:szCs w:val="21"/>
        </w:rPr>
        <w:t>震森依法</w:t>
      </w:r>
      <w:proofErr w:type="gramEnd"/>
      <w:r w:rsidRPr="00C93B41">
        <w:rPr>
          <w:rFonts w:ascii="宋体" w:eastAsia="宋体" w:hAnsi="宋体" w:cs="宋体" w:hint="eastAsia"/>
          <w:color w:val="000000"/>
          <w:kern w:val="0"/>
          <w:szCs w:val="21"/>
        </w:rPr>
        <w:t>处理非法持有的“万业企业”345,727股；对</w:t>
      </w:r>
      <w:proofErr w:type="gramStart"/>
      <w:r w:rsidRPr="00C93B41">
        <w:rPr>
          <w:rFonts w:ascii="宋体" w:eastAsia="宋体" w:hAnsi="宋体" w:cs="宋体" w:hint="eastAsia"/>
          <w:color w:val="000000"/>
          <w:kern w:val="0"/>
          <w:szCs w:val="21"/>
        </w:rPr>
        <w:t>林震森没收</w:t>
      </w:r>
      <w:proofErr w:type="gramEnd"/>
      <w:r w:rsidRPr="00C93B41">
        <w:rPr>
          <w:rFonts w:ascii="宋体" w:eastAsia="宋体" w:hAnsi="宋体" w:cs="宋体" w:hint="eastAsia"/>
          <w:color w:val="000000"/>
          <w:kern w:val="0"/>
          <w:szCs w:val="21"/>
        </w:rPr>
        <w:t>违法所得2,865,646.42元，并处以5,731,292.84元罚款。</w:t>
      </w:r>
    </w:p>
    <w:p w:rsidR="00C93B41" w:rsidRPr="00C93B41" w:rsidRDefault="00C93B41" w:rsidP="00C93B41">
      <w:pPr>
        <w:widowControl/>
        <w:shd w:val="clear" w:color="auto" w:fill="FFFFFF"/>
        <w:spacing w:line="360" w:lineRule="atLeast"/>
        <w:ind w:firstLine="420"/>
        <w:rPr>
          <w:rFonts w:ascii="楷体" w:eastAsia="楷体" w:hAnsi="楷体" w:cs="宋体" w:hint="eastAsia"/>
          <w:color w:val="000000"/>
          <w:kern w:val="0"/>
          <w:sz w:val="24"/>
          <w:szCs w:val="24"/>
        </w:rPr>
      </w:pPr>
      <w:r w:rsidRPr="00C93B41">
        <w:rPr>
          <w:rFonts w:ascii="宋体" w:eastAsia="宋体" w:hAnsi="宋体" w:cs="宋体" w:hint="eastAsia"/>
          <w:color w:val="000000"/>
          <w:spacing w:val="-1"/>
          <w:kern w:val="0"/>
          <w:szCs w:val="21"/>
        </w:rPr>
        <w:t>上述当事人应自收到本处罚决定书之日起15日内，将罚没款汇交中国证券监督管理委员会（财政</w:t>
      </w:r>
      <w:proofErr w:type="gramStart"/>
      <w:r w:rsidRPr="00C93B41">
        <w:rPr>
          <w:rFonts w:ascii="宋体" w:eastAsia="宋体" w:hAnsi="宋体" w:cs="宋体" w:hint="eastAsia"/>
          <w:color w:val="000000"/>
          <w:spacing w:val="-1"/>
          <w:kern w:val="0"/>
          <w:szCs w:val="21"/>
        </w:rPr>
        <w:t>汇缴专户</w:t>
      </w:r>
      <w:proofErr w:type="gramEnd"/>
      <w:r w:rsidRPr="00C93B41">
        <w:rPr>
          <w:rFonts w:ascii="宋体" w:eastAsia="宋体" w:hAnsi="宋体" w:cs="宋体" w:hint="eastAsia"/>
          <w:color w:val="000000"/>
          <w:spacing w:val="-1"/>
          <w:kern w:val="0"/>
          <w:szCs w:val="21"/>
        </w:rPr>
        <w:t>），开户银行：中信银行总行营业部，账号：7111010189800000162，由该行直接上缴国库，并将注有当事人名称的付款凭证复印件送中国证券监督管理委员会稽查</w:t>
      </w:r>
      <w:r w:rsidRPr="00C93B41">
        <w:rPr>
          <w:rFonts w:ascii="宋体" w:eastAsia="宋体" w:hAnsi="宋体" w:cs="宋体" w:hint="eastAsia"/>
          <w:color w:val="000000"/>
          <w:spacing w:val="-1"/>
          <w:kern w:val="0"/>
          <w:szCs w:val="21"/>
        </w:rPr>
        <w:lastRenderedPageBreak/>
        <w:t>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C93B41" w:rsidRPr="00C93B41" w:rsidRDefault="00C93B41" w:rsidP="00C93B4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 xml:space="preserve">中国证监会　  　　</w:t>
      </w:r>
      <w:proofErr w:type="gramStart"/>
      <w:r w:rsidRPr="00C93B41">
        <w:rPr>
          <w:rFonts w:ascii="宋体" w:eastAsia="宋体" w:hAnsi="宋体" w:cs="宋体" w:hint="eastAsia"/>
          <w:color w:val="000000"/>
          <w:kern w:val="0"/>
          <w:szCs w:val="21"/>
        </w:rPr>
        <w:t xml:space="preserve">　</w:t>
      </w:r>
      <w:proofErr w:type="gramEnd"/>
    </w:p>
    <w:p w:rsidR="00C93B41" w:rsidRPr="00C93B41" w:rsidRDefault="00C93B41" w:rsidP="00C93B4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93B41">
        <w:rPr>
          <w:rFonts w:ascii="宋体" w:eastAsia="宋体" w:hAnsi="宋体" w:cs="宋体" w:hint="eastAsia"/>
          <w:color w:val="000000"/>
          <w:kern w:val="0"/>
          <w:szCs w:val="21"/>
        </w:rPr>
        <w:t xml:space="preserve">2018年9月4日　　</w:t>
      </w:r>
      <w:proofErr w:type="gramStart"/>
      <w:r w:rsidRPr="00C93B41">
        <w:rPr>
          <w:rFonts w:ascii="宋体" w:eastAsia="宋体" w:hAnsi="宋体" w:cs="宋体" w:hint="eastAsia"/>
          <w:color w:val="000000"/>
          <w:kern w:val="0"/>
          <w:szCs w:val="21"/>
        </w:rPr>
        <w:t xml:space="preserve">　　</w:t>
      </w:r>
      <w:proofErr w:type="gramEnd"/>
    </w:p>
    <w:p w:rsidR="00C93B41" w:rsidRPr="00C93B41" w:rsidRDefault="00C93B41" w:rsidP="00C93B41">
      <w:pPr>
        <w:widowControl/>
        <w:shd w:val="clear" w:color="auto" w:fill="FFFFFF"/>
        <w:spacing w:line="360" w:lineRule="atLeast"/>
        <w:ind w:firstLine="298"/>
        <w:jc w:val="left"/>
        <w:rPr>
          <w:rFonts w:ascii="楷体" w:eastAsia="楷体" w:hAnsi="楷体" w:cs="宋体" w:hint="eastAsia"/>
          <w:color w:val="000000"/>
          <w:kern w:val="0"/>
          <w:sz w:val="24"/>
          <w:szCs w:val="24"/>
        </w:rPr>
      </w:pPr>
      <w:r w:rsidRPr="00C93B41">
        <w:rPr>
          <w:rFonts w:ascii="楷体" w:eastAsia="楷体" w:hAnsi="楷体" w:cs="宋体"/>
          <w:noProof/>
          <w:color w:val="000000"/>
          <w:kern w:val="0"/>
          <w:sz w:val="24"/>
          <w:szCs w:val="24"/>
        </w:rPr>
        <w:drawing>
          <wp:inline distT="0" distB="0" distL="0" distR="0">
            <wp:extent cx="3048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457200"/>
                    </a:xfrm>
                    <a:prstGeom prst="rect">
                      <a:avLst/>
                    </a:prstGeom>
                    <a:noFill/>
                    <a:ln>
                      <a:noFill/>
                    </a:ln>
                  </pic:spPr>
                </pic:pic>
              </a:graphicData>
            </a:graphic>
          </wp:inline>
        </w:drawing>
      </w:r>
    </w:p>
    <w:p w:rsidR="00C93B41" w:rsidRPr="00C93B41" w:rsidRDefault="00C93B41" w:rsidP="00C93B4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93B41" w:rsidRPr="00C93B41" w:rsidTr="00C93B41">
        <w:trPr>
          <w:tblCellSpacing w:w="15" w:type="dxa"/>
          <w:jc w:val="center"/>
        </w:trPr>
        <w:tc>
          <w:tcPr>
            <w:tcW w:w="900" w:type="dxa"/>
            <w:vAlign w:val="center"/>
            <w:hideMark/>
          </w:tcPr>
          <w:p w:rsidR="00C93B41" w:rsidRPr="00C93B41" w:rsidRDefault="00C93B41" w:rsidP="00C93B41">
            <w:pPr>
              <w:widowControl/>
              <w:jc w:val="left"/>
              <w:rPr>
                <w:rFonts w:ascii="宋体" w:eastAsia="宋体" w:hAnsi="宋体" w:cs="宋体" w:hint="eastAsia"/>
                <w:kern w:val="0"/>
                <w:sz w:val="18"/>
                <w:szCs w:val="18"/>
              </w:rPr>
            </w:pPr>
            <w:r w:rsidRPr="00C93B41">
              <w:rPr>
                <w:rFonts w:ascii="宋体" w:eastAsia="宋体" w:hAnsi="宋体" w:cs="宋体"/>
                <w:kern w:val="0"/>
                <w:sz w:val="18"/>
                <w:szCs w:val="18"/>
              </w:rPr>
              <w:t> </w:t>
            </w:r>
          </w:p>
        </w:tc>
        <w:tc>
          <w:tcPr>
            <w:tcW w:w="1200" w:type="dxa"/>
            <w:vAlign w:val="center"/>
            <w:hideMark/>
          </w:tcPr>
          <w:p w:rsidR="00C93B41" w:rsidRPr="00C93B41" w:rsidRDefault="00C93B41" w:rsidP="00C93B41">
            <w:pPr>
              <w:widowControl/>
              <w:jc w:val="left"/>
              <w:rPr>
                <w:rFonts w:ascii="宋体" w:eastAsia="宋体" w:hAnsi="宋体" w:cs="宋体"/>
                <w:kern w:val="0"/>
                <w:sz w:val="18"/>
                <w:szCs w:val="18"/>
              </w:rPr>
            </w:pPr>
            <w:r w:rsidRPr="00C93B4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93B41" w:rsidRPr="00C93B41" w:rsidRDefault="00C93B41" w:rsidP="00C93B41">
            <w:pPr>
              <w:widowControl/>
              <w:jc w:val="left"/>
              <w:rPr>
                <w:rFonts w:ascii="宋体" w:eastAsia="宋体" w:hAnsi="宋体" w:cs="宋体"/>
                <w:kern w:val="0"/>
                <w:sz w:val="18"/>
                <w:szCs w:val="18"/>
              </w:rPr>
            </w:pPr>
            <w:r w:rsidRPr="00C93B4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93B41" w:rsidRPr="00C93B41" w:rsidRDefault="00C93B41" w:rsidP="00C93B41">
            <w:pPr>
              <w:widowControl/>
              <w:jc w:val="left"/>
              <w:rPr>
                <w:rFonts w:ascii="宋体" w:eastAsia="宋体" w:hAnsi="宋体" w:cs="宋体"/>
                <w:kern w:val="0"/>
                <w:sz w:val="18"/>
                <w:szCs w:val="18"/>
              </w:rPr>
            </w:pPr>
            <w:r w:rsidRPr="00C93B4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93B41" w:rsidRPr="00C93B41" w:rsidRDefault="00C93B41" w:rsidP="00C93B41">
      <w:pPr>
        <w:widowControl/>
        <w:jc w:val="center"/>
        <w:rPr>
          <w:rFonts w:ascii="微软雅黑" w:eastAsia="微软雅黑" w:hAnsi="微软雅黑" w:cs="宋体"/>
          <w:color w:val="515151"/>
          <w:kern w:val="0"/>
          <w:sz w:val="18"/>
          <w:szCs w:val="18"/>
        </w:rPr>
      </w:pPr>
      <w:hyperlink r:id="rId12" w:tgtFrame="_blank" w:history="1">
        <w:r w:rsidRPr="00C93B41">
          <w:rPr>
            <w:rFonts w:ascii="微软雅黑" w:eastAsia="微软雅黑" w:hAnsi="微软雅黑" w:cs="宋体" w:hint="eastAsia"/>
            <w:color w:val="0000FF"/>
            <w:kern w:val="0"/>
            <w:sz w:val="18"/>
            <w:szCs w:val="18"/>
            <w:u w:val="single"/>
          </w:rPr>
          <w:t>关于我们</w:t>
        </w:r>
      </w:hyperlink>
      <w:r w:rsidRPr="00C93B41">
        <w:rPr>
          <w:rFonts w:ascii="微软雅黑" w:eastAsia="微软雅黑" w:hAnsi="微软雅黑" w:cs="宋体" w:hint="eastAsia"/>
          <w:color w:val="515151"/>
          <w:kern w:val="0"/>
          <w:sz w:val="18"/>
          <w:szCs w:val="18"/>
        </w:rPr>
        <w:t> - </w:t>
      </w:r>
      <w:hyperlink r:id="rId13" w:tgtFrame="_blank" w:history="1">
        <w:r w:rsidRPr="00C93B41">
          <w:rPr>
            <w:rFonts w:ascii="微软雅黑" w:eastAsia="微软雅黑" w:hAnsi="微软雅黑" w:cs="宋体" w:hint="eastAsia"/>
            <w:color w:val="0000FF"/>
            <w:kern w:val="0"/>
            <w:sz w:val="18"/>
            <w:szCs w:val="18"/>
            <w:u w:val="single"/>
          </w:rPr>
          <w:t>法律声明</w:t>
        </w:r>
      </w:hyperlink>
      <w:r w:rsidRPr="00C93B41">
        <w:rPr>
          <w:rFonts w:ascii="微软雅黑" w:eastAsia="微软雅黑" w:hAnsi="微软雅黑" w:cs="宋体" w:hint="eastAsia"/>
          <w:color w:val="515151"/>
          <w:kern w:val="0"/>
          <w:sz w:val="18"/>
          <w:szCs w:val="18"/>
        </w:rPr>
        <w:t> - </w:t>
      </w:r>
      <w:hyperlink r:id="rId14" w:tgtFrame="_blank" w:history="1">
        <w:r w:rsidRPr="00C93B41">
          <w:rPr>
            <w:rFonts w:ascii="微软雅黑" w:eastAsia="微软雅黑" w:hAnsi="微软雅黑" w:cs="宋体" w:hint="eastAsia"/>
            <w:color w:val="0000FF"/>
            <w:kern w:val="0"/>
            <w:sz w:val="18"/>
            <w:szCs w:val="18"/>
            <w:u w:val="single"/>
          </w:rPr>
          <w:t>联系我们</w:t>
        </w:r>
      </w:hyperlink>
    </w:p>
    <w:p w:rsidR="00C93B41" w:rsidRPr="00C93B41" w:rsidRDefault="00C93B41" w:rsidP="00C93B41">
      <w:pPr>
        <w:widowControl/>
        <w:jc w:val="center"/>
        <w:rPr>
          <w:rFonts w:ascii="微软雅黑" w:eastAsia="微软雅黑" w:hAnsi="微软雅黑" w:cs="宋体" w:hint="eastAsia"/>
          <w:color w:val="515151"/>
          <w:kern w:val="0"/>
          <w:sz w:val="18"/>
          <w:szCs w:val="18"/>
        </w:rPr>
      </w:pPr>
      <w:r w:rsidRPr="00C93B41">
        <w:rPr>
          <w:rFonts w:ascii="微软雅黑" w:eastAsia="微软雅黑" w:hAnsi="微软雅黑" w:cs="宋体" w:hint="eastAsia"/>
          <w:color w:val="515151"/>
          <w:kern w:val="0"/>
          <w:sz w:val="18"/>
          <w:szCs w:val="18"/>
        </w:rPr>
        <w:t>版权所有：中国证券监督管理委员会 京ICP备 05035542号</w:t>
      </w:r>
    </w:p>
    <w:p w:rsidR="00C93B41" w:rsidRPr="00C93B41" w:rsidRDefault="00C93B41" w:rsidP="00C93B41">
      <w:pPr>
        <w:widowControl/>
        <w:jc w:val="center"/>
        <w:rPr>
          <w:rFonts w:ascii="微软雅黑" w:eastAsia="微软雅黑" w:hAnsi="微软雅黑" w:cs="宋体" w:hint="eastAsia"/>
          <w:color w:val="515151"/>
          <w:kern w:val="0"/>
          <w:sz w:val="18"/>
          <w:szCs w:val="18"/>
        </w:rPr>
      </w:pPr>
      <w:r w:rsidRPr="00C93B41">
        <w:rPr>
          <w:rFonts w:ascii="微软雅黑" w:eastAsia="微软雅黑" w:hAnsi="微软雅黑" w:cs="宋体" w:hint="eastAsia"/>
          <w:color w:val="515151"/>
          <w:kern w:val="0"/>
          <w:sz w:val="18"/>
          <w:szCs w:val="18"/>
        </w:rPr>
        <w:t>地址：北京市西城区金融大街19号富凯大厦A座 邮编：100033</w:t>
      </w:r>
    </w:p>
    <w:p w:rsidR="00C93B41" w:rsidRPr="00C93B41" w:rsidRDefault="00C93B41" w:rsidP="00C93B41">
      <w:pPr>
        <w:widowControl/>
        <w:jc w:val="center"/>
        <w:rPr>
          <w:rFonts w:ascii="微软雅黑" w:eastAsia="微软雅黑" w:hAnsi="微软雅黑" w:cs="宋体" w:hint="eastAsia"/>
          <w:color w:val="515151"/>
          <w:kern w:val="0"/>
          <w:sz w:val="18"/>
          <w:szCs w:val="18"/>
        </w:rPr>
      </w:pPr>
      <w:r w:rsidRPr="00C93B41">
        <w:rPr>
          <w:rFonts w:ascii="微软雅黑" w:eastAsia="微软雅黑" w:hAnsi="微软雅黑" w:cs="宋体" w:hint="eastAsia"/>
          <w:color w:val="515151"/>
          <w:kern w:val="0"/>
          <w:sz w:val="18"/>
          <w:szCs w:val="18"/>
        </w:rPr>
        <w:t>建议使用IE5.5以上浏览器，分辨率1024*768</w:t>
      </w:r>
    </w:p>
    <w:p w:rsidR="00A55C11" w:rsidRPr="00C93B41" w:rsidRDefault="00A55C11"/>
    <w:sectPr w:rsidR="00A55C11" w:rsidRPr="00C93B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41"/>
    <w:rsid w:val="00A55C11"/>
    <w:rsid w:val="00C93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82E4E-8CDC-42DC-A247-802601C7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3B4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93B41"/>
    <w:rPr>
      <w:b/>
      <w:bCs/>
    </w:rPr>
  </w:style>
  <w:style w:type="paragraph" w:customStyle="1" w:styleId="p0">
    <w:name w:val="p0"/>
    <w:basedOn w:val="a"/>
    <w:rsid w:val="00C93B41"/>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C93B4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93B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792980">
      <w:bodyDiv w:val="1"/>
      <w:marLeft w:val="0"/>
      <w:marRight w:val="0"/>
      <w:marTop w:val="0"/>
      <w:marBottom w:val="0"/>
      <w:divBdr>
        <w:top w:val="none" w:sz="0" w:space="0" w:color="auto"/>
        <w:left w:val="none" w:sz="0" w:space="0" w:color="auto"/>
        <w:bottom w:val="none" w:sz="0" w:space="0" w:color="auto"/>
        <w:right w:val="none" w:sz="0" w:space="0" w:color="auto"/>
      </w:divBdr>
      <w:divsChild>
        <w:div w:id="167982519">
          <w:marLeft w:val="0"/>
          <w:marRight w:val="0"/>
          <w:marTop w:val="150"/>
          <w:marBottom w:val="150"/>
          <w:divBdr>
            <w:top w:val="none" w:sz="0" w:space="0" w:color="auto"/>
            <w:left w:val="none" w:sz="0" w:space="0" w:color="auto"/>
            <w:bottom w:val="none" w:sz="0" w:space="0" w:color="auto"/>
            <w:right w:val="none" w:sz="0" w:space="0" w:color="auto"/>
          </w:divBdr>
        </w:div>
        <w:div w:id="1315990617">
          <w:marLeft w:val="0"/>
          <w:marRight w:val="0"/>
          <w:marTop w:val="0"/>
          <w:marBottom w:val="0"/>
          <w:divBdr>
            <w:top w:val="single" w:sz="6" w:space="8" w:color="B5B5B5"/>
            <w:left w:val="single" w:sz="6" w:space="0" w:color="B5B5B5"/>
            <w:bottom w:val="single" w:sz="6" w:space="8" w:color="B5B5B5"/>
            <w:right w:val="single" w:sz="6" w:space="0" w:color="B5B5B5"/>
          </w:divBdr>
          <w:divsChild>
            <w:div w:id="889803235">
              <w:marLeft w:val="0"/>
              <w:marRight w:val="0"/>
              <w:marTop w:val="0"/>
              <w:marBottom w:val="0"/>
              <w:divBdr>
                <w:top w:val="none" w:sz="0" w:space="0" w:color="auto"/>
                <w:left w:val="none" w:sz="0" w:space="0" w:color="auto"/>
                <w:bottom w:val="none" w:sz="0" w:space="0" w:color="auto"/>
                <w:right w:val="none" w:sz="0" w:space="0" w:color="auto"/>
              </w:divBdr>
            </w:div>
            <w:div w:id="1385982029">
              <w:marLeft w:val="0"/>
              <w:marRight w:val="0"/>
              <w:marTop w:val="0"/>
              <w:marBottom w:val="0"/>
              <w:divBdr>
                <w:top w:val="none" w:sz="0" w:space="0" w:color="auto"/>
                <w:left w:val="none" w:sz="0" w:space="0" w:color="auto"/>
                <w:bottom w:val="none" w:sz="0" w:space="0" w:color="auto"/>
                <w:right w:val="none" w:sz="0" w:space="0" w:color="auto"/>
              </w:divBdr>
              <w:divsChild>
                <w:div w:id="2129153155">
                  <w:marLeft w:val="0"/>
                  <w:marRight w:val="0"/>
                  <w:marTop w:val="0"/>
                  <w:marBottom w:val="0"/>
                  <w:divBdr>
                    <w:top w:val="none" w:sz="0" w:space="0" w:color="auto"/>
                    <w:left w:val="none" w:sz="0" w:space="0" w:color="auto"/>
                    <w:bottom w:val="none" w:sz="0" w:space="0" w:color="auto"/>
                    <w:right w:val="none" w:sz="0" w:space="0" w:color="auto"/>
                  </w:divBdr>
                </w:div>
              </w:divsChild>
            </w:div>
            <w:div w:id="396441813">
              <w:marLeft w:val="0"/>
              <w:marRight w:val="0"/>
              <w:marTop w:val="120"/>
              <w:marBottom w:val="120"/>
              <w:divBdr>
                <w:top w:val="none" w:sz="0" w:space="0" w:color="auto"/>
                <w:left w:val="none" w:sz="0" w:space="0" w:color="auto"/>
                <w:bottom w:val="none" w:sz="0" w:space="0" w:color="auto"/>
                <w:right w:val="none" w:sz="0" w:space="0" w:color="auto"/>
              </w:divBdr>
            </w:div>
          </w:divsChild>
        </w:div>
        <w:div w:id="506791517">
          <w:marLeft w:val="0"/>
          <w:marRight w:val="0"/>
          <w:marTop w:val="120"/>
          <w:marBottom w:val="0"/>
          <w:divBdr>
            <w:top w:val="none" w:sz="0" w:space="0" w:color="auto"/>
            <w:left w:val="none" w:sz="0" w:space="0" w:color="auto"/>
            <w:bottom w:val="none" w:sz="0" w:space="0" w:color="auto"/>
            <w:right w:val="none" w:sz="0" w:space="0" w:color="auto"/>
          </w:divBdr>
          <w:divsChild>
            <w:div w:id="1202665951">
              <w:marLeft w:val="0"/>
              <w:marRight w:val="0"/>
              <w:marTop w:val="60"/>
              <w:marBottom w:val="0"/>
              <w:divBdr>
                <w:top w:val="none" w:sz="0" w:space="0" w:color="auto"/>
                <w:left w:val="none" w:sz="0" w:space="0" w:color="auto"/>
                <w:bottom w:val="none" w:sz="0" w:space="0" w:color="auto"/>
                <w:right w:val="none" w:sz="0" w:space="0" w:color="auto"/>
              </w:divBdr>
            </w:div>
            <w:div w:id="1107046133">
              <w:marLeft w:val="0"/>
              <w:marRight w:val="0"/>
              <w:marTop w:val="60"/>
              <w:marBottom w:val="0"/>
              <w:divBdr>
                <w:top w:val="none" w:sz="0" w:space="0" w:color="auto"/>
                <w:left w:val="none" w:sz="0" w:space="0" w:color="auto"/>
                <w:bottom w:val="none" w:sz="0" w:space="0" w:color="auto"/>
                <w:right w:val="none" w:sz="0" w:space="0" w:color="auto"/>
              </w:divBdr>
            </w:div>
            <w:div w:id="1937319584">
              <w:marLeft w:val="0"/>
              <w:marRight w:val="0"/>
              <w:marTop w:val="60"/>
              <w:marBottom w:val="0"/>
              <w:divBdr>
                <w:top w:val="none" w:sz="0" w:space="0" w:color="auto"/>
                <w:left w:val="none" w:sz="0" w:space="0" w:color="auto"/>
                <w:bottom w:val="none" w:sz="0" w:space="0" w:color="auto"/>
                <w:right w:val="none" w:sz="0" w:space="0" w:color="auto"/>
              </w:divBdr>
            </w:div>
            <w:div w:id="14706288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c.gov.cn/pub/zjhpublic/G00306212/201809/t20180911_344047.htm?keywords=%E5%86%85%E5%B9%95%E4%BA%A4%E6%98%93" TargetMode="External"/><Relationship Id="rId13" Type="http://schemas.openxmlformats.org/officeDocument/2006/relationships/hyperlink" Target="http://www.csrc.gov.cn/pub/newsite/fzlm/flsm/"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csrc.gov.cn/pub/newsite/fzlm/gyw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6.gif"/><Relationship Id="rId5" Type="http://schemas.openxmlformats.org/officeDocument/2006/relationships/image" Target="media/image2.wmf"/><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hyperlink" Target="http://www.csrc.gov.cn/pub/newsite/fzlm/lxw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2020-02-15T11:45:00Z</dcterms:created>
  <dcterms:modified xsi:type="dcterms:W3CDTF">2020-02-15T11:45:00Z</dcterms:modified>
</cp:coreProperties>
</file>