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C19" w:rsidRPr="00B33C19" w:rsidRDefault="00B33C19" w:rsidP="00B33C19">
      <w:pPr>
        <w:widowControl/>
        <w:jc w:val="center"/>
        <w:rPr>
          <w:rFonts w:ascii="微软雅黑" w:eastAsia="微软雅黑" w:hAnsi="微软雅黑" w:cs="宋体"/>
          <w:color w:val="000000"/>
          <w:kern w:val="0"/>
          <w:sz w:val="18"/>
          <w:szCs w:val="18"/>
        </w:rPr>
      </w:pPr>
      <w:r w:rsidRPr="00B33C1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B33C19" w:rsidRPr="00B33C19" w:rsidTr="00B33C1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3C19" w:rsidRPr="00B33C19">
              <w:trPr>
                <w:tblCellSpacing w:w="0" w:type="dxa"/>
              </w:trPr>
              <w:tc>
                <w:tcPr>
                  <w:tcW w:w="2500" w:type="pct"/>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hint="eastAsia"/>
                      <w:color w:val="686868"/>
                      <w:kern w:val="0"/>
                      <w:sz w:val="18"/>
                      <w:szCs w:val="18"/>
                    </w:rPr>
                  </w:pPr>
                  <w:r w:rsidRPr="00B33C19">
                    <w:rPr>
                      <w:rFonts w:ascii="宋体" w:eastAsia="宋体" w:hAnsi="宋体" w:cs="宋体"/>
                      <w:b/>
                      <w:bCs/>
                      <w:color w:val="686868"/>
                      <w:kern w:val="0"/>
                      <w:sz w:val="18"/>
                      <w:szCs w:val="18"/>
                    </w:rPr>
                    <w:t>索 引 号:</w:t>
                  </w:r>
                  <w:r w:rsidRPr="00B33C1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分类:</w:t>
                  </w:r>
                  <w:r w:rsidRPr="00B33C19">
                    <w:rPr>
                      <w:rFonts w:ascii="宋体" w:eastAsia="宋体" w:hAnsi="宋体" w:cs="宋体"/>
                      <w:color w:val="686868"/>
                      <w:kern w:val="0"/>
                      <w:sz w:val="18"/>
                      <w:szCs w:val="18"/>
                    </w:rPr>
                    <w:t> 行政处罚 ; 行政处罚决定</w:t>
                  </w:r>
                </w:p>
              </w:tc>
            </w:tr>
          </w:tbl>
          <w:p w:rsidR="00B33C19" w:rsidRPr="00B33C19" w:rsidRDefault="00B33C19" w:rsidP="00B33C19">
            <w:pPr>
              <w:widowControl/>
              <w:jc w:val="left"/>
              <w:rPr>
                <w:rFonts w:ascii="宋体" w:eastAsia="宋体" w:hAnsi="宋体" w:cs="宋体"/>
                <w:color w:val="686868"/>
                <w:kern w:val="0"/>
                <w:sz w:val="18"/>
                <w:szCs w:val="18"/>
              </w:rPr>
            </w:pPr>
          </w:p>
        </w:tc>
      </w:tr>
      <w:tr w:rsidR="00B33C19" w:rsidRPr="00B33C19" w:rsidTr="00B33C1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3C19" w:rsidRPr="00B33C19">
              <w:trPr>
                <w:tblCellSpacing w:w="0" w:type="dxa"/>
              </w:trPr>
              <w:tc>
                <w:tcPr>
                  <w:tcW w:w="2500" w:type="pct"/>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发布机构:</w:t>
                  </w:r>
                  <w:r w:rsidRPr="00B33C1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发文日期:</w:t>
                  </w:r>
                  <w:r w:rsidRPr="00B33C19">
                    <w:rPr>
                      <w:rFonts w:ascii="宋体" w:eastAsia="宋体" w:hAnsi="宋体" w:cs="宋体"/>
                      <w:color w:val="686868"/>
                      <w:kern w:val="0"/>
                      <w:sz w:val="18"/>
                      <w:szCs w:val="18"/>
                    </w:rPr>
                    <w:t> 2019年02月12日</w:t>
                  </w:r>
                </w:p>
              </w:tc>
            </w:tr>
          </w:tbl>
          <w:p w:rsidR="00B33C19" w:rsidRPr="00B33C19" w:rsidRDefault="00B33C19" w:rsidP="00B33C19">
            <w:pPr>
              <w:widowControl/>
              <w:jc w:val="left"/>
              <w:rPr>
                <w:rFonts w:ascii="宋体" w:eastAsia="宋体" w:hAnsi="宋体" w:cs="宋体"/>
                <w:color w:val="686868"/>
                <w:kern w:val="0"/>
                <w:sz w:val="18"/>
                <w:szCs w:val="18"/>
              </w:rPr>
            </w:pPr>
          </w:p>
        </w:tc>
      </w:tr>
      <w:tr w:rsidR="00B33C19" w:rsidRPr="00B33C19" w:rsidTr="00B33C19">
        <w:trPr>
          <w:tblCellSpacing w:w="0" w:type="dxa"/>
        </w:trPr>
        <w:tc>
          <w:tcPr>
            <w:tcW w:w="0" w:type="auto"/>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名　　称:</w:t>
            </w:r>
            <w:r w:rsidRPr="00B33C19">
              <w:rPr>
                <w:rFonts w:ascii="宋体" w:eastAsia="宋体" w:hAnsi="宋体" w:cs="宋体"/>
                <w:color w:val="686868"/>
                <w:kern w:val="0"/>
                <w:sz w:val="18"/>
                <w:szCs w:val="18"/>
              </w:rPr>
              <w:t> 中国证监会行政处罚决定书（周德奋）</w:t>
            </w:r>
          </w:p>
        </w:tc>
      </w:tr>
      <w:tr w:rsidR="00B33C19" w:rsidRPr="00B33C19" w:rsidTr="00B33C1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33C19" w:rsidRPr="00B33C19">
              <w:trPr>
                <w:tblCellSpacing w:w="0" w:type="dxa"/>
              </w:trPr>
              <w:tc>
                <w:tcPr>
                  <w:tcW w:w="2500" w:type="pct"/>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文　　号:</w:t>
                  </w:r>
                  <w:r w:rsidRPr="00B33C19">
                    <w:rPr>
                      <w:rFonts w:ascii="宋体" w:eastAsia="宋体" w:hAnsi="宋体" w:cs="宋体"/>
                      <w:color w:val="686868"/>
                      <w:kern w:val="0"/>
                      <w:sz w:val="18"/>
                      <w:szCs w:val="18"/>
                    </w:rPr>
                    <w:t> </w:t>
                  </w:r>
                  <w:bookmarkStart w:id="0" w:name="_GoBack"/>
                  <w:r w:rsidRPr="00B33C19">
                    <w:rPr>
                      <w:rFonts w:ascii="宋体" w:eastAsia="宋体" w:hAnsi="宋体" w:cs="宋体"/>
                      <w:color w:val="686868"/>
                      <w:kern w:val="0"/>
                      <w:sz w:val="18"/>
                      <w:szCs w:val="18"/>
                    </w:rPr>
                    <w:t>〔2019〕10号</w:t>
                  </w:r>
                  <w:bookmarkEnd w:id="0"/>
                </w:p>
              </w:tc>
              <w:tc>
                <w:tcPr>
                  <w:tcW w:w="0" w:type="auto"/>
                  <w:tcMar>
                    <w:top w:w="30" w:type="dxa"/>
                    <w:left w:w="30" w:type="dxa"/>
                    <w:bottom w:w="30" w:type="dxa"/>
                    <w:right w:w="30" w:type="dxa"/>
                  </w:tcMar>
                  <w:hideMark/>
                </w:tcPr>
                <w:p w:rsidR="00B33C19" w:rsidRPr="00B33C19" w:rsidRDefault="00B33C19" w:rsidP="00B33C19">
                  <w:pPr>
                    <w:widowControl/>
                    <w:jc w:val="left"/>
                    <w:rPr>
                      <w:rFonts w:ascii="宋体" w:eastAsia="宋体" w:hAnsi="宋体" w:cs="宋体"/>
                      <w:color w:val="686868"/>
                      <w:kern w:val="0"/>
                      <w:sz w:val="18"/>
                      <w:szCs w:val="18"/>
                    </w:rPr>
                  </w:pPr>
                  <w:r w:rsidRPr="00B33C19">
                    <w:rPr>
                      <w:rFonts w:ascii="宋体" w:eastAsia="宋体" w:hAnsi="宋体" w:cs="宋体"/>
                      <w:b/>
                      <w:bCs/>
                      <w:color w:val="686868"/>
                      <w:kern w:val="0"/>
                      <w:sz w:val="18"/>
                      <w:szCs w:val="18"/>
                    </w:rPr>
                    <w:t>主 题 词:</w:t>
                  </w:r>
                </w:p>
              </w:tc>
            </w:tr>
          </w:tbl>
          <w:p w:rsidR="00B33C19" w:rsidRPr="00B33C19" w:rsidRDefault="00B33C19" w:rsidP="00B33C19">
            <w:pPr>
              <w:widowControl/>
              <w:jc w:val="left"/>
              <w:rPr>
                <w:rFonts w:ascii="宋体" w:eastAsia="宋体" w:hAnsi="宋体" w:cs="宋体"/>
                <w:color w:val="686868"/>
                <w:kern w:val="0"/>
                <w:sz w:val="18"/>
                <w:szCs w:val="18"/>
              </w:rPr>
            </w:pPr>
          </w:p>
        </w:tc>
      </w:tr>
    </w:tbl>
    <w:p w:rsidR="00B33C19" w:rsidRPr="00B33C19" w:rsidRDefault="00B33C19" w:rsidP="00B33C19">
      <w:pPr>
        <w:widowControl/>
        <w:jc w:val="center"/>
        <w:rPr>
          <w:rFonts w:ascii="微软雅黑" w:eastAsia="微软雅黑" w:hAnsi="微软雅黑" w:cs="宋体"/>
          <w:color w:val="000000"/>
          <w:kern w:val="0"/>
          <w:sz w:val="18"/>
          <w:szCs w:val="18"/>
        </w:rPr>
      </w:pPr>
      <w:r w:rsidRPr="00B33C1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33C19" w:rsidRPr="00B33C19" w:rsidRDefault="00B33C19" w:rsidP="00B33C19">
      <w:pPr>
        <w:widowControl/>
        <w:shd w:val="clear" w:color="auto" w:fill="FFFFFF"/>
        <w:spacing w:after="240"/>
        <w:jc w:val="center"/>
        <w:rPr>
          <w:rFonts w:ascii="微软雅黑" w:eastAsia="微软雅黑" w:hAnsi="微软雅黑" w:cs="宋体" w:hint="eastAsia"/>
          <w:color w:val="000000"/>
          <w:kern w:val="0"/>
          <w:sz w:val="18"/>
          <w:szCs w:val="18"/>
        </w:rPr>
      </w:pPr>
      <w:r w:rsidRPr="00B33C19">
        <w:rPr>
          <w:rFonts w:ascii="微软雅黑" w:eastAsia="微软雅黑" w:hAnsi="微软雅黑" w:cs="宋体" w:hint="eastAsia"/>
          <w:color w:val="000000"/>
          <w:kern w:val="0"/>
          <w:sz w:val="18"/>
          <w:szCs w:val="18"/>
        </w:rPr>
        <w:br/>
      </w:r>
      <w:r w:rsidRPr="00B33C19">
        <w:rPr>
          <w:rFonts w:ascii="黑体" w:eastAsia="黑体" w:hAnsi="黑体" w:cs="宋体" w:hint="eastAsia"/>
          <w:b/>
          <w:bCs/>
          <w:color w:val="FF0000"/>
          <w:kern w:val="0"/>
          <w:sz w:val="36"/>
          <w:szCs w:val="36"/>
        </w:rPr>
        <w:t>中国证监会行政处罚决定书（周德奋）</w:t>
      </w:r>
    </w:p>
    <w:p w:rsidR="00B33C19" w:rsidRPr="00B33C19" w:rsidRDefault="00B33C19" w:rsidP="00B33C19">
      <w:pPr>
        <w:widowControl/>
        <w:shd w:val="clear" w:color="auto" w:fill="FFFFFF"/>
        <w:spacing w:line="360" w:lineRule="atLeast"/>
        <w:jc w:val="center"/>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〔2019〕10号</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Calibri" w:eastAsia="楷体" w:hAnsi="Calibri" w:cs="Calibri"/>
          <w:color w:val="000000"/>
          <w:kern w:val="0"/>
          <w:sz w:val="24"/>
          <w:szCs w:val="24"/>
        </w:rPr>
        <w:t> </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当事人：周德奋，男，1974年9月28日出生，</w:t>
      </w:r>
      <w:proofErr w:type="gramStart"/>
      <w:r w:rsidRPr="00B33C19">
        <w:rPr>
          <w:rFonts w:ascii="宋体" w:eastAsia="宋体" w:hAnsi="宋体" w:cs="宋体" w:hint="eastAsia"/>
          <w:color w:val="000000"/>
          <w:kern w:val="0"/>
          <w:szCs w:val="21"/>
        </w:rPr>
        <w:t>深圳市粤豪珠宝</w:t>
      </w:r>
      <w:proofErr w:type="gramEnd"/>
      <w:r w:rsidRPr="00B33C19">
        <w:rPr>
          <w:rFonts w:ascii="宋体" w:eastAsia="宋体" w:hAnsi="宋体" w:cs="宋体" w:hint="eastAsia"/>
          <w:color w:val="000000"/>
          <w:kern w:val="0"/>
          <w:szCs w:val="21"/>
        </w:rPr>
        <w:t>有限公司（以下</w:t>
      </w:r>
      <w:proofErr w:type="gramStart"/>
      <w:r w:rsidRPr="00B33C19">
        <w:rPr>
          <w:rFonts w:ascii="宋体" w:eastAsia="宋体" w:hAnsi="宋体" w:cs="宋体" w:hint="eastAsia"/>
          <w:color w:val="000000"/>
          <w:kern w:val="0"/>
          <w:szCs w:val="21"/>
        </w:rPr>
        <w:t>简称粤豪珠宝</w:t>
      </w:r>
      <w:proofErr w:type="gramEnd"/>
      <w:r w:rsidRPr="00B33C19">
        <w:rPr>
          <w:rFonts w:ascii="宋体" w:eastAsia="宋体" w:hAnsi="宋体" w:cs="宋体" w:hint="eastAsia"/>
          <w:color w:val="000000"/>
          <w:kern w:val="0"/>
          <w:szCs w:val="21"/>
        </w:rPr>
        <w:t>）总裁，住址：广东省深圳市盐田区。</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依据《中华人民共和国证券法》（以下简称《证券法》）的有关规定，我会对周德奋内幕交易北京金一文化发展股份有限公司（以下简称金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文化）股票进行了立案调查、审理，并依法向当事人告知了</w:t>
      </w:r>
      <w:proofErr w:type="gramStart"/>
      <w:r w:rsidRPr="00B33C19">
        <w:rPr>
          <w:rFonts w:ascii="宋体" w:eastAsia="宋体" w:hAnsi="宋体" w:cs="宋体" w:hint="eastAsia"/>
          <w:color w:val="000000"/>
          <w:kern w:val="0"/>
          <w:szCs w:val="21"/>
        </w:rPr>
        <w:t>作出</w:t>
      </w:r>
      <w:proofErr w:type="gramEnd"/>
      <w:r w:rsidRPr="00B33C19">
        <w:rPr>
          <w:rFonts w:ascii="宋体" w:eastAsia="宋体" w:hAnsi="宋体" w:cs="宋体" w:hint="eastAsia"/>
          <w:color w:val="000000"/>
          <w:kern w:val="0"/>
          <w:szCs w:val="21"/>
        </w:rPr>
        <w:t>行政处罚的事实、理由、依据及当事人依法享有的权利。当事人要求听证，并提出陈述、申辩意见。我会于2018年10月29日召开听证会听取周德奋的陈述申辩意见。本案现已调查、审理终结。</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经查明，当事人存在以下违法事实：</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一、内幕信息的形成及周德奋知悉内幕信息的情况</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2015年以来，金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文化董事长钟某接触了深圳市卡尼珠宝首饰有限公司（以下简称卡尼珠宝）、成都天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洋金业有限责任公司（以下简称成都天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洋）等多个公司，推进金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文化重大重组。经周德奋推荐，成都天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金一文化于2015年4月份达成收购合作共识，拟停牌后开展收购。2015年5月上旬，钟某与深圳市卡尼小额贷款有限公司（卡尼珠宝控股股东，以下简称卡尼小贷）达成收购意向。2015年6月初，钟某又和一家公司达成了收购意向。2015年6-7月份，周德奋与钟某、卡尼珠宝董事长黄某坚在一起吃饭时，周德奋问起钟某收购的情况，钟某提到还行，并感谢周德奋推荐标的；此外，三人还聊到金一文化与卡尼小</w:t>
      </w:r>
      <w:proofErr w:type="gramStart"/>
      <w:r w:rsidRPr="00B33C19">
        <w:rPr>
          <w:rFonts w:ascii="宋体" w:eastAsia="宋体" w:hAnsi="宋体" w:cs="宋体" w:hint="eastAsia"/>
          <w:color w:val="000000"/>
          <w:kern w:val="0"/>
          <w:szCs w:val="21"/>
        </w:rPr>
        <w:t>贷合作</w:t>
      </w:r>
      <w:proofErr w:type="gramEnd"/>
      <w:r w:rsidRPr="00B33C19">
        <w:rPr>
          <w:rFonts w:ascii="宋体" w:eastAsia="宋体" w:hAnsi="宋体" w:cs="宋体" w:hint="eastAsia"/>
          <w:color w:val="000000"/>
          <w:kern w:val="0"/>
          <w:szCs w:val="21"/>
        </w:rPr>
        <w:t>的事情。7月初，钟某又谈妥了另外两个项目。金一文化在7月7日发布重大事项停牌公告。随后中介进场，否定了成都天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洋等三个项目。此外，另有一家公司在深入谈判过程中未谈拢。2015年8月6日，金一文化发布公告，称7月7日停牌筹划的重大事项为重大资产重组。10月21日金一文化复牌。</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周德奋经常与内幕信息知情人钟某通话联络。在2015年6月1日至7月6日期间，钟某尾号6733手机与周德奋尾号7888手机存在49次通话、短信联系。</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lastRenderedPageBreak/>
        <w:t>金一文化重大重组事项属于《证券法》第六十七条第二款第二项所述“公司的重大投资行为”，构成《证券法》第七十五条第二款第一项所述内幕信息。该信息于2015年4月底形成，8月6日公开。周德奋不晚于2015年4月底知悉内幕信息。</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二、周德奋实际控制相关账户交易涉案股票情况</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周德奋实际控制“杨某红”、“范某璇”、“吴某生”、“陈某美”等</w:t>
      </w:r>
      <w:proofErr w:type="gramStart"/>
      <w:r w:rsidRPr="00B33C19">
        <w:rPr>
          <w:rFonts w:ascii="宋体" w:eastAsia="宋体" w:hAnsi="宋体" w:cs="宋体" w:hint="eastAsia"/>
          <w:color w:val="000000"/>
          <w:kern w:val="0"/>
          <w:szCs w:val="21"/>
        </w:rPr>
        <w:t>四个粤豪珠宝</w:t>
      </w:r>
      <w:proofErr w:type="gramEnd"/>
      <w:r w:rsidRPr="00B33C19">
        <w:rPr>
          <w:rFonts w:ascii="宋体" w:eastAsia="宋体" w:hAnsi="宋体" w:cs="宋体" w:hint="eastAsia"/>
          <w:color w:val="000000"/>
          <w:kern w:val="0"/>
          <w:szCs w:val="21"/>
        </w:rPr>
        <w:t>员工证券账户。具体如下：第一，吴某生、陈某美的证券账户于2015年4月开立，与金一文化收购成都天</w:t>
      </w:r>
      <w:proofErr w:type="gramStart"/>
      <w:r w:rsidRPr="00B33C19">
        <w:rPr>
          <w:rFonts w:ascii="宋体" w:eastAsia="宋体" w:hAnsi="宋体" w:cs="宋体" w:hint="eastAsia"/>
          <w:color w:val="000000"/>
          <w:kern w:val="0"/>
          <w:szCs w:val="21"/>
        </w:rPr>
        <w:t>鑫洋谈判及达成</w:t>
      </w:r>
      <w:proofErr w:type="gramEnd"/>
      <w:r w:rsidRPr="00B33C19">
        <w:rPr>
          <w:rFonts w:ascii="宋体" w:eastAsia="宋体" w:hAnsi="宋体" w:cs="宋体" w:hint="eastAsia"/>
          <w:color w:val="000000"/>
          <w:kern w:val="0"/>
          <w:szCs w:val="21"/>
        </w:rPr>
        <w:t>共识时间较为吻合；第二，“杨某红”、“范某璇”、“吴某生”三个账户通讯地址</w:t>
      </w:r>
      <w:proofErr w:type="gramStart"/>
      <w:r w:rsidRPr="00B33C19">
        <w:rPr>
          <w:rFonts w:ascii="宋体" w:eastAsia="宋体" w:hAnsi="宋体" w:cs="宋体" w:hint="eastAsia"/>
          <w:color w:val="000000"/>
          <w:kern w:val="0"/>
          <w:szCs w:val="21"/>
        </w:rPr>
        <w:t>均为粤豪珠宝</w:t>
      </w:r>
      <w:proofErr w:type="gramEnd"/>
      <w:r w:rsidRPr="00B33C19">
        <w:rPr>
          <w:rFonts w:ascii="宋体" w:eastAsia="宋体" w:hAnsi="宋体" w:cs="宋体" w:hint="eastAsia"/>
          <w:color w:val="000000"/>
          <w:kern w:val="0"/>
          <w:szCs w:val="21"/>
        </w:rPr>
        <w:t>的办公地；第三，上述四个账户自2015年7月1日起突击转入大量资金，资金主要</w:t>
      </w:r>
      <w:proofErr w:type="gramStart"/>
      <w:r w:rsidRPr="00B33C19">
        <w:rPr>
          <w:rFonts w:ascii="宋体" w:eastAsia="宋体" w:hAnsi="宋体" w:cs="宋体" w:hint="eastAsia"/>
          <w:color w:val="000000"/>
          <w:kern w:val="0"/>
          <w:szCs w:val="21"/>
        </w:rPr>
        <w:t>来自粤豪珠宝</w:t>
      </w:r>
      <w:proofErr w:type="gramEnd"/>
      <w:r w:rsidRPr="00B33C19">
        <w:rPr>
          <w:rFonts w:ascii="宋体" w:eastAsia="宋体" w:hAnsi="宋体" w:cs="宋体" w:hint="eastAsia"/>
          <w:color w:val="000000"/>
          <w:kern w:val="0"/>
          <w:szCs w:val="21"/>
        </w:rPr>
        <w:t>的其他员工，具体由周德奋的父亲、</w:t>
      </w:r>
      <w:proofErr w:type="gramStart"/>
      <w:r w:rsidRPr="00B33C19">
        <w:rPr>
          <w:rFonts w:ascii="宋体" w:eastAsia="宋体" w:hAnsi="宋体" w:cs="宋体" w:hint="eastAsia"/>
          <w:color w:val="000000"/>
          <w:kern w:val="0"/>
          <w:szCs w:val="21"/>
        </w:rPr>
        <w:t>粤豪珠宝</w:t>
      </w:r>
      <w:proofErr w:type="gramEnd"/>
      <w:r w:rsidRPr="00B33C19">
        <w:rPr>
          <w:rFonts w:ascii="宋体" w:eastAsia="宋体" w:hAnsi="宋体" w:cs="宋体" w:hint="eastAsia"/>
          <w:color w:val="000000"/>
          <w:kern w:val="0"/>
          <w:szCs w:val="21"/>
        </w:rPr>
        <w:t>董事长周某</w:t>
      </w:r>
      <w:proofErr w:type="gramStart"/>
      <w:r w:rsidRPr="00B33C19">
        <w:rPr>
          <w:rFonts w:ascii="宋体" w:eastAsia="宋体" w:hAnsi="宋体" w:cs="宋体" w:hint="eastAsia"/>
          <w:color w:val="000000"/>
          <w:kern w:val="0"/>
          <w:szCs w:val="21"/>
        </w:rPr>
        <w:t>厚安排</w:t>
      </w:r>
      <w:proofErr w:type="gramEnd"/>
      <w:r w:rsidRPr="00B33C19">
        <w:rPr>
          <w:rFonts w:ascii="宋体" w:eastAsia="宋体" w:hAnsi="宋体" w:cs="宋体" w:hint="eastAsia"/>
          <w:color w:val="000000"/>
          <w:kern w:val="0"/>
          <w:szCs w:val="21"/>
        </w:rPr>
        <w:t>汇款入涉案账户；第五，根据周德奋秘书钟某笔录，其根据周德奋指示在自己家中或者委托朋友在深圳、汕头下单交易涉案股票，并在下单后向周德奋汇报。相关IP地址及周德奋秘书钟某电脑MAC码可以佐证；第六，上述账户2015年全年</w:t>
      </w:r>
      <w:proofErr w:type="gramStart"/>
      <w:r w:rsidRPr="00B33C19">
        <w:rPr>
          <w:rFonts w:ascii="宋体" w:eastAsia="宋体" w:hAnsi="宋体" w:cs="宋体" w:hint="eastAsia"/>
          <w:color w:val="000000"/>
          <w:kern w:val="0"/>
          <w:szCs w:val="21"/>
        </w:rPr>
        <w:t>仅交易</w:t>
      </w:r>
      <w:proofErr w:type="gramEnd"/>
      <w:r w:rsidRPr="00B33C19">
        <w:rPr>
          <w:rFonts w:ascii="宋体" w:eastAsia="宋体" w:hAnsi="宋体" w:cs="宋体" w:hint="eastAsia"/>
          <w:color w:val="000000"/>
          <w:kern w:val="0"/>
          <w:szCs w:val="21"/>
        </w:rPr>
        <w:t>“金一文化”一只股票，与周德奋知悉内幕信息相互吻合。</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周德奋交易涉案股票的时间集中在2015年7月1、2、3、6日。上述时间段内具体交易情况如下：第一，“杨某红”账户内4,200万元资金全部买入“金一文化”，成交数量617,125股，成交金额4,198万元。第二，“陈某美”账户内4,580万元全部买入“金一文化”，成交股数650,796股，成交金额4,308万元。第三，“吴某生”账户内4,650万元全部买入“金一文化”，成交股数621,975股，成交金额4,197万元。第四，“范某璇”账户内1,780万元全部买入“金一文化”，成交股数253,877股，成交金额1,779万元。截至2015年7月7日停牌时，上述账户均仅持有“金一文化”。</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综上，周德奋在2015年金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文化重组期间，介绍成都天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等项目给金一文化董事长钟某，不晚于2015年4月底知悉内幕信息。周德奋在介绍项目之后的2015年6-7月份，与钟某、黄某坚在一起吃饭时进一步了解收购进程。周德奋利用内幕信息于2015年7月1日至6日买入涉案股票共计2,143,773股，成交金额144,831,970.87元，获利28,448,626.59元。</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听证会上，当事人提出陈述申辩意见如下：</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第一，现有证据无法证明周德奋知悉内幕信息。第二，周德奋关注黄金珠宝同行公司并购扩张的发展战略及相关公告，看好该公司长远发展，其在股票大幅下跌情况下仍然长期持有，符合一贯交易习惯，属于正常交易行为，不是内幕交易。第三，当时行业淡季到来，资金回笼，遂决定投资股票。第四，使用他人账户进行交易是因为本人工作繁忙，不擅长操作电子设备。第五，证监会在调查过程中没有做到“全面、客观、公正”，认定周德奋介绍项目、参与谈论重组饭局的证据均没有做到扎实充分，存在与当事人陈述不一致的情形。第六，即便推定周德奋构成内幕交易，其交易也具有合理性。其交易行为和与知情人接触、内幕信息公开等时间点并不高度吻合，不应认定为异常交易。第七，当事人选择2015年4月份开户，系知悉金一文化与沈阳机床集团有限公司的跨境合作、认可金一文化后续发展所致，与内幕信息无关。第八，当事人与知情人同属于一个行业，联络接触属于正常现象，在内幕信息敏感期内联络属于巧合。第九，认定当事人账面获利28,448,626.59元与事实不符合。</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lastRenderedPageBreak/>
        <w:t>我会认为，第一，金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文化董事长钟某两份笔录都提到周</w:t>
      </w:r>
      <w:proofErr w:type="gramStart"/>
      <w:r w:rsidRPr="00B33C19">
        <w:rPr>
          <w:rFonts w:ascii="宋体" w:eastAsia="宋体" w:hAnsi="宋体" w:cs="宋体" w:hint="eastAsia"/>
          <w:color w:val="000000"/>
          <w:kern w:val="0"/>
          <w:szCs w:val="21"/>
        </w:rPr>
        <w:t>德奋介绍</w:t>
      </w:r>
      <w:proofErr w:type="gramEnd"/>
      <w:r w:rsidRPr="00B33C19">
        <w:rPr>
          <w:rFonts w:ascii="宋体" w:eastAsia="宋体" w:hAnsi="宋体" w:cs="宋体" w:hint="eastAsia"/>
          <w:color w:val="000000"/>
          <w:kern w:val="0"/>
          <w:szCs w:val="21"/>
        </w:rPr>
        <w:t>成都天</w:t>
      </w:r>
      <w:proofErr w:type="gramStart"/>
      <w:r w:rsidRPr="00B33C19">
        <w:rPr>
          <w:rFonts w:ascii="宋体" w:eastAsia="宋体" w:hAnsi="宋体" w:cs="宋体" w:hint="eastAsia"/>
          <w:color w:val="000000"/>
          <w:kern w:val="0"/>
          <w:szCs w:val="21"/>
        </w:rPr>
        <w:t>鑫</w:t>
      </w:r>
      <w:proofErr w:type="gramEnd"/>
      <w:r w:rsidRPr="00B33C19">
        <w:rPr>
          <w:rFonts w:ascii="宋体" w:eastAsia="宋体" w:hAnsi="宋体" w:cs="宋体" w:hint="eastAsia"/>
          <w:color w:val="000000"/>
          <w:kern w:val="0"/>
          <w:szCs w:val="21"/>
        </w:rPr>
        <w:t>洋项目，知情人金</w:t>
      </w:r>
      <w:proofErr w:type="gramStart"/>
      <w:r w:rsidRPr="00B33C19">
        <w:rPr>
          <w:rFonts w:ascii="宋体" w:eastAsia="宋体" w:hAnsi="宋体" w:cs="宋体" w:hint="eastAsia"/>
          <w:color w:val="000000"/>
          <w:kern w:val="0"/>
          <w:szCs w:val="21"/>
        </w:rPr>
        <w:t>一</w:t>
      </w:r>
      <w:proofErr w:type="gramEnd"/>
      <w:r w:rsidRPr="00B33C19">
        <w:rPr>
          <w:rFonts w:ascii="宋体" w:eastAsia="宋体" w:hAnsi="宋体" w:cs="宋体" w:hint="eastAsia"/>
          <w:color w:val="000000"/>
          <w:kern w:val="0"/>
          <w:szCs w:val="21"/>
        </w:rPr>
        <w:t>文化董事长钟某、卡尼珠宝董事长黄某坚两份笔录提到过二人与周德奋一起吃饭，谈起过重组事宜，基于上述证据可认定周德奋知悉内幕信息。第二，周德奋对珠宝黄金行业上市公司的关心与其利用内幕信息交易并不矛盾。第三，证监会调查的证据能够证明其知悉内幕信息。有不同涉案人员笔录相互印证，可以证实其参加了谈论内幕信息的饭局。第四，周德奋的交易行为构成内幕交易。一是周德奋介绍重组项目时间与指定他人开户时间趋同，均发生在2015年4月份；二是周德奋6月底与知情人吃饭谈论重组，7月1日突击转入大额资金；三是周德奋交易涉案股票时间与知悉内幕信息的时间具有明显的时间关联度。第五，周德奋在2015年的账面获利是28,448,626.59元。根据交易所提供数据，截至2018年10月29日，周德奋控制账户账面亏损108,364,822.52元。</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周德奋的上述行为违反了《证券法》第七十六条第一款“证券交易内幕信息的知情人和非法获取内幕信息的人，在内幕信息公开前，不得买卖该公司的证券”的规定，构成内幕交易行为。</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以上事实，有询问笔录、相关账户的开户信息、相关账户交易信息、相关银行账户的资金流水等证据在案证明，足以认定。</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根据当事人的违法事实、性质、情节与社会危害程度，根据《证券法》第二百零二条的规定，我会决定：</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对周德奋处以六十万元罚款。</w:t>
      </w:r>
    </w:p>
    <w:p w:rsidR="00B33C19" w:rsidRPr="00B33C19" w:rsidRDefault="00B33C19" w:rsidP="00B33C19">
      <w:pPr>
        <w:widowControl/>
        <w:shd w:val="clear" w:color="auto" w:fill="FFFFFF"/>
        <w:spacing w:line="360" w:lineRule="atLeast"/>
        <w:ind w:firstLine="420"/>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B33C19">
        <w:rPr>
          <w:rFonts w:ascii="宋体" w:eastAsia="宋体" w:hAnsi="宋体" w:cs="宋体" w:hint="eastAsia"/>
          <w:color w:val="000000"/>
          <w:kern w:val="0"/>
          <w:szCs w:val="21"/>
        </w:rPr>
        <w:t>汇缴专户</w:t>
      </w:r>
      <w:proofErr w:type="gramEnd"/>
      <w:r w:rsidRPr="00B33C19">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B33C19" w:rsidRPr="00B33C19" w:rsidRDefault="00B33C19" w:rsidP="00B33C1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中国证监会</w:t>
      </w:r>
      <w:proofErr w:type="gramStart"/>
      <w:r w:rsidRPr="00B33C19">
        <w:rPr>
          <w:rFonts w:ascii="宋体" w:eastAsia="宋体" w:hAnsi="宋体" w:cs="宋体" w:hint="eastAsia"/>
          <w:color w:val="000000"/>
          <w:kern w:val="0"/>
          <w:szCs w:val="21"/>
        </w:rPr>
        <w:t xml:space="preserve">　　 　　 </w:t>
      </w:r>
      <w:proofErr w:type="gramEnd"/>
    </w:p>
    <w:p w:rsidR="00B33C19" w:rsidRPr="00B33C19" w:rsidRDefault="00B33C19" w:rsidP="00B33C1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33C19">
        <w:rPr>
          <w:rFonts w:ascii="宋体" w:eastAsia="宋体" w:hAnsi="宋体" w:cs="宋体" w:hint="eastAsia"/>
          <w:color w:val="000000"/>
          <w:kern w:val="0"/>
          <w:szCs w:val="21"/>
        </w:rPr>
        <w:t xml:space="preserve">2019年2月1日　　</w:t>
      </w:r>
      <w:proofErr w:type="gramStart"/>
      <w:r w:rsidRPr="00B33C19">
        <w:rPr>
          <w:rFonts w:ascii="宋体" w:eastAsia="宋体" w:hAnsi="宋体" w:cs="宋体" w:hint="eastAsia"/>
          <w:color w:val="000000"/>
          <w:kern w:val="0"/>
          <w:szCs w:val="21"/>
        </w:rPr>
        <w:t xml:space="preserve">　　</w:t>
      </w:r>
      <w:proofErr w:type="gramEnd"/>
    </w:p>
    <w:p w:rsidR="00B33C19" w:rsidRPr="00B33C19" w:rsidRDefault="00B33C19" w:rsidP="00B33C1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33C19" w:rsidRPr="00B33C19" w:rsidTr="00B33C19">
        <w:trPr>
          <w:tblCellSpacing w:w="15" w:type="dxa"/>
          <w:jc w:val="center"/>
        </w:trPr>
        <w:tc>
          <w:tcPr>
            <w:tcW w:w="900" w:type="dxa"/>
            <w:vAlign w:val="center"/>
            <w:hideMark/>
          </w:tcPr>
          <w:p w:rsidR="00B33C19" w:rsidRPr="00B33C19" w:rsidRDefault="00B33C19" w:rsidP="00B33C19">
            <w:pPr>
              <w:widowControl/>
              <w:jc w:val="left"/>
              <w:rPr>
                <w:rFonts w:ascii="宋体" w:eastAsia="宋体" w:hAnsi="宋体" w:cs="宋体" w:hint="eastAsia"/>
                <w:kern w:val="0"/>
                <w:sz w:val="18"/>
                <w:szCs w:val="18"/>
              </w:rPr>
            </w:pPr>
            <w:r w:rsidRPr="00B33C19">
              <w:rPr>
                <w:rFonts w:ascii="宋体" w:eastAsia="宋体" w:hAnsi="宋体" w:cs="宋体"/>
                <w:kern w:val="0"/>
                <w:sz w:val="18"/>
                <w:szCs w:val="18"/>
              </w:rPr>
              <w:t> </w:t>
            </w:r>
          </w:p>
        </w:tc>
        <w:tc>
          <w:tcPr>
            <w:tcW w:w="1200" w:type="dxa"/>
            <w:vAlign w:val="center"/>
            <w:hideMark/>
          </w:tcPr>
          <w:p w:rsidR="00B33C19" w:rsidRPr="00B33C19" w:rsidRDefault="00B33C19" w:rsidP="00B33C19">
            <w:pPr>
              <w:widowControl/>
              <w:jc w:val="left"/>
              <w:rPr>
                <w:rFonts w:ascii="宋体" w:eastAsia="宋体" w:hAnsi="宋体" w:cs="宋体"/>
                <w:kern w:val="0"/>
                <w:sz w:val="18"/>
                <w:szCs w:val="18"/>
              </w:rPr>
            </w:pPr>
            <w:r w:rsidRPr="00B33C1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33C19" w:rsidRPr="00B33C19" w:rsidRDefault="00B33C19" w:rsidP="00B33C19">
            <w:pPr>
              <w:widowControl/>
              <w:jc w:val="left"/>
              <w:rPr>
                <w:rFonts w:ascii="宋体" w:eastAsia="宋体" w:hAnsi="宋体" w:cs="宋体"/>
                <w:kern w:val="0"/>
                <w:sz w:val="18"/>
                <w:szCs w:val="18"/>
              </w:rPr>
            </w:pPr>
            <w:r w:rsidRPr="00B33C1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33C19" w:rsidRPr="00B33C19" w:rsidRDefault="00B33C19" w:rsidP="00B33C19">
            <w:pPr>
              <w:widowControl/>
              <w:jc w:val="left"/>
              <w:rPr>
                <w:rFonts w:ascii="宋体" w:eastAsia="宋体" w:hAnsi="宋体" w:cs="宋体"/>
                <w:kern w:val="0"/>
                <w:sz w:val="18"/>
                <w:szCs w:val="18"/>
              </w:rPr>
            </w:pPr>
            <w:r w:rsidRPr="00B33C1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33C19" w:rsidRPr="00B33C19" w:rsidRDefault="00B33C19" w:rsidP="00B33C19">
      <w:pPr>
        <w:widowControl/>
        <w:jc w:val="center"/>
        <w:rPr>
          <w:rFonts w:ascii="微软雅黑" w:eastAsia="微软雅黑" w:hAnsi="微软雅黑" w:cs="宋体"/>
          <w:color w:val="515151"/>
          <w:kern w:val="0"/>
          <w:sz w:val="18"/>
          <w:szCs w:val="18"/>
        </w:rPr>
      </w:pPr>
      <w:hyperlink r:id="rId11" w:tgtFrame="_blank" w:history="1">
        <w:r w:rsidRPr="00B33C19">
          <w:rPr>
            <w:rFonts w:ascii="微软雅黑" w:eastAsia="微软雅黑" w:hAnsi="微软雅黑" w:cs="宋体" w:hint="eastAsia"/>
            <w:color w:val="0000FF"/>
            <w:kern w:val="0"/>
            <w:sz w:val="18"/>
            <w:szCs w:val="18"/>
            <w:u w:val="single"/>
          </w:rPr>
          <w:t>关于我们</w:t>
        </w:r>
      </w:hyperlink>
      <w:r w:rsidRPr="00B33C19">
        <w:rPr>
          <w:rFonts w:ascii="微软雅黑" w:eastAsia="微软雅黑" w:hAnsi="微软雅黑" w:cs="宋体" w:hint="eastAsia"/>
          <w:color w:val="515151"/>
          <w:kern w:val="0"/>
          <w:sz w:val="18"/>
          <w:szCs w:val="18"/>
        </w:rPr>
        <w:t> - </w:t>
      </w:r>
      <w:hyperlink r:id="rId12" w:tgtFrame="_blank" w:history="1">
        <w:r w:rsidRPr="00B33C19">
          <w:rPr>
            <w:rFonts w:ascii="微软雅黑" w:eastAsia="微软雅黑" w:hAnsi="微软雅黑" w:cs="宋体" w:hint="eastAsia"/>
            <w:color w:val="0000FF"/>
            <w:kern w:val="0"/>
            <w:sz w:val="18"/>
            <w:szCs w:val="18"/>
            <w:u w:val="single"/>
          </w:rPr>
          <w:t>法律声明</w:t>
        </w:r>
      </w:hyperlink>
      <w:r w:rsidRPr="00B33C19">
        <w:rPr>
          <w:rFonts w:ascii="微软雅黑" w:eastAsia="微软雅黑" w:hAnsi="微软雅黑" w:cs="宋体" w:hint="eastAsia"/>
          <w:color w:val="515151"/>
          <w:kern w:val="0"/>
          <w:sz w:val="18"/>
          <w:szCs w:val="18"/>
        </w:rPr>
        <w:t> - </w:t>
      </w:r>
      <w:hyperlink r:id="rId13" w:tgtFrame="_blank" w:history="1">
        <w:r w:rsidRPr="00B33C19">
          <w:rPr>
            <w:rFonts w:ascii="微软雅黑" w:eastAsia="微软雅黑" w:hAnsi="微软雅黑" w:cs="宋体" w:hint="eastAsia"/>
            <w:color w:val="0000FF"/>
            <w:kern w:val="0"/>
            <w:sz w:val="18"/>
            <w:szCs w:val="18"/>
            <w:u w:val="single"/>
          </w:rPr>
          <w:t>联系我们</w:t>
        </w:r>
      </w:hyperlink>
    </w:p>
    <w:p w:rsidR="00B33C19" w:rsidRPr="00B33C19" w:rsidRDefault="00B33C19" w:rsidP="00B33C19">
      <w:pPr>
        <w:widowControl/>
        <w:jc w:val="center"/>
        <w:rPr>
          <w:rFonts w:ascii="微软雅黑" w:eastAsia="微软雅黑" w:hAnsi="微软雅黑" w:cs="宋体" w:hint="eastAsia"/>
          <w:color w:val="515151"/>
          <w:kern w:val="0"/>
          <w:sz w:val="18"/>
          <w:szCs w:val="18"/>
        </w:rPr>
      </w:pPr>
      <w:r w:rsidRPr="00B33C19">
        <w:rPr>
          <w:rFonts w:ascii="微软雅黑" w:eastAsia="微软雅黑" w:hAnsi="微软雅黑" w:cs="宋体" w:hint="eastAsia"/>
          <w:color w:val="515151"/>
          <w:kern w:val="0"/>
          <w:sz w:val="18"/>
          <w:szCs w:val="18"/>
        </w:rPr>
        <w:t>版权所有：中国证券监督管理委员会 京ICP备 05035542号</w:t>
      </w:r>
    </w:p>
    <w:p w:rsidR="00B33C19" w:rsidRPr="00B33C19" w:rsidRDefault="00B33C19" w:rsidP="00B33C19">
      <w:pPr>
        <w:widowControl/>
        <w:jc w:val="center"/>
        <w:rPr>
          <w:rFonts w:ascii="微软雅黑" w:eastAsia="微软雅黑" w:hAnsi="微软雅黑" w:cs="宋体" w:hint="eastAsia"/>
          <w:color w:val="515151"/>
          <w:kern w:val="0"/>
          <w:sz w:val="18"/>
          <w:szCs w:val="18"/>
        </w:rPr>
      </w:pPr>
      <w:r w:rsidRPr="00B33C19">
        <w:rPr>
          <w:rFonts w:ascii="微软雅黑" w:eastAsia="微软雅黑" w:hAnsi="微软雅黑" w:cs="宋体" w:hint="eastAsia"/>
          <w:color w:val="515151"/>
          <w:kern w:val="0"/>
          <w:sz w:val="18"/>
          <w:szCs w:val="18"/>
        </w:rPr>
        <w:t>地址：北京市西城区金融大街19号富凯大厦A座 邮编：100033</w:t>
      </w:r>
    </w:p>
    <w:p w:rsidR="00B33C19" w:rsidRPr="00B33C19" w:rsidRDefault="00B33C19" w:rsidP="00B33C19">
      <w:pPr>
        <w:widowControl/>
        <w:jc w:val="center"/>
        <w:rPr>
          <w:rFonts w:ascii="微软雅黑" w:eastAsia="微软雅黑" w:hAnsi="微软雅黑" w:cs="宋体" w:hint="eastAsia"/>
          <w:color w:val="515151"/>
          <w:kern w:val="0"/>
          <w:sz w:val="18"/>
          <w:szCs w:val="18"/>
        </w:rPr>
      </w:pPr>
      <w:r w:rsidRPr="00B33C19">
        <w:rPr>
          <w:rFonts w:ascii="微软雅黑" w:eastAsia="微软雅黑" w:hAnsi="微软雅黑" w:cs="宋体" w:hint="eastAsia"/>
          <w:color w:val="515151"/>
          <w:kern w:val="0"/>
          <w:sz w:val="18"/>
          <w:szCs w:val="18"/>
        </w:rPr>
        <w:t>建议使用IE5.5以上浏览器，分辨率1024*768</w:t>
      </w:r>
    </w:p>
    <w:p w:rsidR="00F84852" w:rsidRPr="00B33C19" w:rsidRDefault="00F84852"/>
    <w:sectPr w:rsidR="00F84852" w:rsidRPr="00B33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19"/>
    <w:rsid w:val="00B33C19"/>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A69E6-A06C-4D12-85C5-94D033C1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3C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3C19"/>
    <w:rPr>
      <w:b/>
      <w:bCs/>
    </w:rPr>
  </w:style>
  <w:style w:type="paragraph" w:customStyle="1" w:styleId="p0">
    <w:name w:val="p0"/>
    <w:basedOn w:val="a"/>
    <w:rsid w:val="00B33C1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33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12117">
      <w:bodyDiv w:val="1"/>
      <w:marLeft w:val="0"/>
      <w:marRight w:val="0"/>
      <w:marTop w:val="0"/>
      <w:marBottom w:val="0"/>
      <w:divBdr>
        <w:top w:val="none" w:sz="0" w:space="0" w:color="auto"/>
        <w:left w:val="none" w:sz="0" w:space="0" w:color="auto"/>
        <w:bottom w:val="none" w:sz="0" w:space="0" w:color="auto"/>
        <w:right w:val="none" w:sz="0" w:space="0" w:color="auto"/>
      </w:divBdr>
      <w:divsChild>
        <w:div w:id="679696417">
          <w:marLeft w:val="0"/>
          <w:marRight w:val="0"/>
          <w:marTop w:val="150"/>
          <w:marBottom w:val="150"/>
          <w:divBdr>
            <w:top w:val="none" w:sz="0" w:space="0" w:color="auto"/>
            <w:left w:val="none" w:sz="0" w:space="0" w:color="auto"/>
            <w:bottom w:val="none" w:sz="0" w:space="0" w:color="auto"/>
            <w:right w:val="none" w:sz="0" w:space="0" w:color="auto"/>
          </w:divBdr>
        </w:div>
        <w:div w:id="366687051">
          <w:marLeft w:val="0"/>
          <w:marRight w:val="0"/>
          <w:marTop w:val="0"/>
          <w:marBottom w:val="0"/>
          <w:divBdr>
            <w:top w:val="single" w:sz="6" w:space="8" w:color="B5B5B5"/>
            <w:left w:val="single" w:sz="6" w:space="0" w:color="B5B5B5"/>
            <w:bottom w:val="single" w:sz="6" w:space="8" w:color="B5B5B5"/>
            <w:right w:val="single" w:sz="6" w:space="0" w:color="B5B5B5"/>
          </w:divBdr>
          <w:divsChild>
            <w:div w:id="148834537">
              <w:marLeft w:val="0"/>
              <w:marRight w:val="0"/>
              <w:marTop w:val="0"/>
              <w:marBottom w:val="0"/>
              <w:divBdr>
                <w:top w:val="none" w:sz="0" w:space="0" w:color="auto"/>
                <w:left w:val="none" w:sz="0" w:space="0" w:color="auto"/>
                <w:bottom w:val="none" w:sz="0" w:space="0" w:color="auto"/>
                <w:right w:val="none" w:sz="0" w:space="0" w:color="auto"/>
              </w:divBdr>
            </w:div>
            <w:div w:id="269968328">
              <w:marLeft w:val="0"/>
              <w:marRight w:val="0"/>
              <w:marTop w:val="0"/>
              <w:marBottom w:val="0"/>
              <w:divBdr>
                <w:top w:val="none" w:sz="0" w:space="0" w:color="auto"/>
                <w:left w:val="none" w:sz="0" w:space="0" w:color="auto"/>
                <w:bottom w:val="none" w:sz="0" w:space="0" w:color="auto"/>
                <w:right w:val="none" w:sz="0" w:space="0" w:color="auto"/>
              </w:divBdr>
              <w:divsChild>
                <w:div w:id="1247349381">
                  <w:marLeft w:val="0"/>
                  <w:marRight w:val="0"/>
                  <w:marTop w:val="0"/>
                  <w:marBottom w:val="0"/>
                  <w:divBdr>
                    <w:top w:val="none" w:sz="0" w:space="0" w:color="auto"/>
                    <w:left w:val="none" w:sz="0" w:space="0" w:color="auto"/>
                    <w:bottom w:val="none" w:sz="0" w:space="0" w:color="auto"/>
                    <w:right w:val="none" w:sz="0" w:space="0" w:color="auto"/>
                  </w:divBdr>
                </w:div>
              </w:divsChild>
            </w:div>
            <w:div w:id="479537769">
              <w:marLeft w:val="0"/>
              <w:marRight w:val="0"/>
              <w:marTop w:val="120"/>
              <w:marBottom w:val="120"/>
              <w:divBdr>
                <w:top w:val="none" w:sz="0" w:space="0" w:color="auto"/>
                <w:left w:val="none" w:sz="0" w:space="0" w:color="auto"/>
                <w:bottom w:val="none" w:sz="0" w:space="0" w:color="auto"/>
                <w:right w:val="none" w:sz="0" w:space="0" w:color="auto"/>
              </w:divBdr>
            </w:div>
          </w:divsChild>
        </w:div>
        <w:div w:id="536770984">
          <w:marLeft w:val="0"/>
          <w:marRight w:val="0"/>
          <w:marTop w:val="120"/>
          <w:marBottom w:val="0"/>
          <w:divBdr>
            <w:top w:val="none" w:sz="0" w:space="0" w:color="auto"/>
            <w:left w:val="none" w:sz="0" w:space="0" w:color="auto"/>
            <w:bottom w:val="none" w:sz="0" w:space="0" w:color="auto"/>
            <w:right w:val="none" w:sz="0" w:space="0" w:color="auto"/>
          </w:divBdr>
          <w:divsChild>
            <w:div w:id="1369334419">
              <w:marLeft w:val="0"/>
              <w:marRight w:val="0"/>
              <w:marTop w:val="60"/>
              <w:marBottom w:val="0"/>
              <w:divBdr>
                <w:top w:val="none" w:sz="0" w:space="0" w:color="auto"/>
                <w:left w:val="none" w:sz="0" w:space="0" w:color="auto"/>
                <w:bottom w:val="none" w:sz="0" w:space="0" w:color="auto"/>
                <w:right w:val="none" w:sz="0" w:space="0" w:color="auto"/>
              </w:divBdr>
            </w:div>
            <w:div w:id="1508592745">
              <w:marLeft w:val="0"/>
              <w:marRight w:val="0"/>
              <w:marTop w:val="60"/>
              <w:marBottom w:val="0"/>
              <w:divBdr>
                <w:top w:val="none" w:sz="0" w:space="0" w:color="auto"/>
                <w:left w:val="none" w:sz="0" w:space="0" w:color="auto"/>
                <w:bottom w:val="none" w:sz="0" w:space="0" w:color="auto"/>
                <w:right w:val="none" w:sz="0" w:space="0" w:color="auto"/>
              </w:divBdr>
            </w:div>
            <w:div w:id="2103799017">
              <w:marLeft w:val="0"/>
              <w:marRight w:val="0"/>
              <w:marTop w:val="60"/>
              <w:marBottom w:val="0"/>
              <w:divBdr>
                <w:top w:val="none" w:sz="0" w:space="0" w:color="auto"/>
                <w:left w:val="none" w:sz="0" w:space="0" w:color="auto"/>
                <w:bottom w:val="none" w:sz="0" w:space="0" w:color="auto"/>
                <w:right w:val="none" w:sz="0" w:space="0" w:color="auto"/>
              </w:divBdr>
            </w:div>
            <w:div w:id="11872133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4/t20190402_35367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2020-02-14T15:22:00Z</dcterms:created>
  <dcterms:modified xsi:type="dcterms:W3CDTF">2020-02-14T15:23:00Z</dcterms:modified>
</cp:coreProperties>
</file>