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BB6" w:rsidRPr="00613BB6" w:rsidRDefault="00613BB6" w:rsidP="00613BB6">
      <w:pPr>
        <w:widowControl/>
        <w:jc w:val="center"/>
        <w:rPr>
          <w:rFonts w:ascii="微软雅黑" w:eastAsia="微软雅黑" w:hAnsi="微软雅黑" w:cs="宋体"/>
          <w:color w:val="000000"/>
          <w:kern w:val="0"/>
          <w:sz w:val="18"/>
          <w:szCs w:val="18"/>
        </w:rPr>
      </w:pPr>
      <w:r w:rsidRPr="00613BB6">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613BB6" w:rsidRPr="00613BB6" w:rsidTr="00613BB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BB6" w:rsidRPr="00613BB6">
              <w:trPr>
                <w:tblCellSpacing w:w="0" w:type="dxa"/>
              </w:trPr>
              <w:tc>
                <w:tcPr>
                  <w:tcW w:w="2500" w:type="pct"/>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hint="eastAsia"/>
                      <w:color w:val="686868"/>
                      <w:kern w:val="0"/>
                      <w:sz w:val="18"/>
                      <w:szCs w:val="18"/>
                    </w:rPr>
                  </w:pPr>
                  <w:r w:rsidRPr="00613BB6">
                    <w:rPr>
                      <w:rFonts w:ascii="宋体" w:eastAsia="宋体" w:hAnsi="宋体" w:cs="宋体"/>
                      <w:b/>
                      <w:bCs/>
                      <w:color w:val="686868"/>
                      <w:kern w:val="0"/>
                      <w:sz w:val="18"/>
                      <w:szCs w:val="18"/>
                    </w:rPr>
                    <w:t>索 引 号:</w:t>
                  </w:r>
                  <w:r w:rsidRPr="00613BB6">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分类:</w:t>
                  </w:r>
                  <w:r w:rsidRPr="00613BB6">
                    <w:rPr>
                      <w:rFonts w:ascii="宋体" w:eastAsia="宋体" w:hAnsi="宋体" w:cs="宋体"/>
                      <w:color w:val="686868"/>
                      <w:kern w:val="0"/>
                      <w:sz w:val="18"/>
                      <w:szCs w:val="18"/>
                    </w:rPr>
                    <w:t> 行政处罚 ; 行政处罚决定</w:t>
                  </w:r>
                </w:p>
              </w:tc>
            </w:tr>
          </w:tbl>
          <w:p w:rsidR="00613BB6" w:rsidRPr="00613BB6" w:rsidRDefault="00613BB6" w:rsidP="00613BB6">
            <w:pPr>
              <w:widowControl/>
              <w:jc w:val="left"/>
              <w:rPr>
                <w:rFonts w:ascii="宋体" w:eastAsia="宋体" w:hAnsi="宋体" w:cs="宋体"/>
                <w:color w:val="686868"/>
                <w:kern w:val="0"/>
                <w:sz w:val="18"/>
                <w:szCs w:val="18"/>
              </w:rPr>
            </w:pPr>
          </w:p>
        </w:tc>
      </w:tr>
      <w:tr w:rsidR="00613BB6" w:rsidRPr="00613BB6" w:rsidTr="00613BB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BB6" w:rsidRPr="00613BB6">
              <w:trPr>
                <w:tblCellSpacing w:w="0" w:type="dxa"/>
              </w:trPr>
              <w:tc>
                <w:tcPr>
                  <w:tcW w:w="2500" w:type="pct"/>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发布机构:</w:t>
                  </w:r>
                  <w:r w:rsidRPr="00613BB6">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发文日期:</w:t>
                  </w:r>
                  <w:r w:rsidRPr="00613BB6">
                    <w:rPr>
                      <w:rFonts w:ascii="宋体" w:eastAsia="宋体" w:hAnsi="宋体" w:cs="宋体"/>
                      <w:color w:val="686868"/>
                      <w:kern w:val="0"/>
                      <w:sz w:val="18"/>
                      <w:szCs w:val="18"/>
                    </w:rPr>
                    <w:t> 2019年10月31日</w:t>
                  </w:r>
                </w:p>
              </w:tc>
            </w:tr>
          </w:tbl>
          <w:p w:rsidR="00613BB6" w:rsidRPr="00613BB6" w:rsidRDefault="00613BB6" w:rsidP="00613BB6">
            <w:pPr>
              <w:widowControl/>
              <w:jc w:val="left"/>
              <w:rPr>
                <w:rFonts w:ascii="宋体" w:eastAsia="宋体" w:hAnsi="宋体" w:cs="宋体"/>
                <w:color w:val="686868"/>
                <w:kern w:val="0"/>
                <w:sz w:val="18"/>
                <w:szCs w:val="18"/>
              </w:rPr>
            </w:pPr>
          </w:p>
        </w:tc>
      </w:tr>
      <w:tr w:rsidR="00613BB6" w:rsidRPr="00613BB6" w:rsidTr="00613BB6">
        <w:trPr>
          <w:tblCellSpacing w:w="0" w:type="dxa"/>
        </w:trPr>
        <w:tc>
          <w:tcPr>
            <w:tcW w:w="0" w:type="auto"/>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名　　称:</w:t>
            </w:r>
            <w:r w:rsidRPr="00613BB6">
              <w:rPr>
                <w:rFonts w:ascii="宋体" w:eastAsia="宋体" w:hAnsi="宋体" w:cs="宋体"/>
                <w:color w:val="686868"/>
                <w:kern w:val="0"/>
                <w:sz w:val="18"/>
                <w:szCs w:val="18"/>
              </w:rPr>
              <w:t> 中国证监会行政处罚决定书（楼蓉）</w:t>
            </w:r>
          </w:p>
        </w:tc>
      </w:tr>
      <w:tr w:rsidR="00613BB6" w:rsidRPr="00613BB6" w:rsidTr="00613BB6">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3BB6" w:rsidRPr="00613BB6">
              <w:trPr>
                <w:tblCellSpacing w:w="0" w:type="dxa"/>
              </w:trPr>
              <w:tc>
                <w:tcPr>
                  <w:tcW w:w="2500" w:type="pct"/>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文　　号:</w:t>
                  </w:r>
                  <w:r w:rsidRPr="00613BB6">
                    <w:rPr>
                      <w:rFonts w:ascii="宋体" w:eastAsia="宋体" w:hAnsi="宋体" w:cs="宋体"/>
                      <w:color w:val="686868"/>
                      <w:kern w:val="0"/>
                      <w:sz w:val="18"/>
                      <w:szCs w:val="18"/>
                    </w:rPr>
                    <w:t> </w:t>
                  </w:r>
                  <w:bookmarkStart w:id="0" w:name="_GoBack"/>
                  <w:r w:rsidRPr="00613BB6">
                    <w:rPr>
                      <w:rFonts w:ascii="宋体" w:eastAsia="宋体" w:hAnsi="宋体" w:cs="宋体"/>
                      <w:color w:val="686868"/>
                      <w:kern w:val="0"/>
                      <w:sz w:val="18"/>
                      <w:szCs w:val="18"/>
                    </w:rPr>
                    <w:t>〔2019〕112号</w:t>
                  </w:r>
                  <w:bookmarkEnd w:id="0"/>
                </w:p>
              </w:tc>
              <w:tc>
                <w:tcPr>
                  <w:tcW w:w="0" w:type="auto"/>
                  <w:tcMar>
                    <w:top w:w="30" w:type="dxa"/>
                    <w:left w:w="30" w:type="dxa"/>
                    <w:bottom w:w="30" w:type="dxa"/>
                    <w:right w:w="30" w:type="dxa"/>
                  </w:tcMar>
                  <w:hideMark/>
                </w:tcPr>
                <w:p w:rsidR="00613BB6" w:rsidRPr="00613BB6" w:rsidRDefault="00613BB6" w:rsidP="00613BB6">
                  <w:pPr>
                    <w:widowControl/>
                    <w:jc w:val="left"/>
                    <w:rPr>
                      <w:rFonts w:ascii="宋体" w:eastAsia="宋体" w:hAnsi="宋体" w:cs="宋体"/>
                      <w:color w:val="686868"/>
                      <w:kern w:val="0"/>
                      <w:sz w:val="18"/>
                      <w:szCs w:val="18"/>
                    </w:rPr>
                  </w:pPr>
                  <w:r w:rsidRPr="00613BB6">
                    <w:rPr>
                      <w:rFonts w:ascii="宋体" w:eastAsia="宋体" w:hAnsi="宋体" w:cs="宋体"/>
                      <w:b/>
                      <w:bCs/>
                      <w:color w:val="686868"/>
                      <w:kern w:val="0"/>
                      <w:sz w:val="18"/>
                      <w:szCs w:val="18"/>
                    </w:rPr>
                    <w:t>主 题 词:</w:t>
                  </w:r>
                </w:p>
              </w:tc>
            </w:tr>
          </w:tbl>
          <w:p w:rsidR="00613BB6" w:rsidRPr="00613BB6" w:rsidRDefault="00613BB6" w:rsidP="00613BB6">
            <w:pPr>
              <w:widowControl/>
              <w:jc w:val="left"/>
              <w:rPr>
                <w:rFonts w:ascii="宋体" w:eastAsia="宋体" w:hAnsi="宋体" w:cs="宋体"/>
                <w:color w:val="686868"/>
                <w:kern w:val="0"/>
                <w:sz w:val="18"/>
                <w:szCs w:val="18"/>
              </w:rPr>
            </w:pPr>
          </w:p>
        </w:tc>
      </w:tr>
    </w:tbl>
    <w:p w:rsidR="00613BB6" w:rsidRPr="00613BB6" w:rsidRDefault="00613BB6" w:rsidP="00613BB6">
      <w:pPr>
        <w:widowControl/>
        <w:jc w:val="center"/>
        <w:rPr>
          <w:rFonts w:ascii="微软雅黑" w:eastAsia="微软雅黑" w:hAnsi="微软雅黑" w:cs="宋体"/>
          <w:color w:val="000000"/>
          <w:kern w:val="0"/>
          <w:sz w:val="18"/>
          <w:szCs w:val="18"/>
        </w:rPr>
      </w:pPr>
      <w:r w:rsidRPr="00613BB6">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13BB6" w:rsidRPr="00613BB6" w:rsidRDefault="00613BB6" w:rsidP="00613BB6">
      <w:pPr>
        <w:widowControl/>
        <w:shd w:val="clear" w:color="auto" w:fill="FFFFFF"/>
        <w:spacing w:after="240"/>
        <w:jc w:val="center"/>
        <w:rPr>
          <w:rFonts w:ascii="微软雅黑" w:eastAsia="微软雅黑" w:hAnsi="微软雅黑" w:cs="宋体" w:hint="eastAsia"/>
          <w:color w:val="000000"/>
          <w:kern w:val="0"/>
          <w:sz w:val="18"/>
          <w:szCs w:val="18"/>
        </w:rPr>
      </w:pPr>
      <w:r w:rsidRPr="00613BB6">
        <w:rPr>
          <w:rFonts w:ascii="微软雅黑" w:eastAsia="微软雅黑" w:hAnsi="微软雅黑" w:cs="宋体" w:hint="eastAsia"/>
          <w:color w:val="000000"/>
          <w:kern w:val="0"/>
          <w:sz w:val="18"/>
          <w:szCs w:val="18"/>
        </w:rPr>
        <w:br/>
      </w:r>
      <w:r w:rsidRPr="00613BB6">
        <w:rPr>
          <w:rFonts w:ascii="黑体" w:eastAsia="黑体" w:hAnsi="黑体" w:cs="宋体" w:hint="eastAsia"/>
          <w:b/>
          <w:bCs/>
          <w:color w:val="FF0000"/>
          <w:kern w:val="0"/>
          <w:sz w:val="36"/>
          <w:szCs w:val="36"/>
        </w:rPr>
        <w:t>中国证监会行政处罚决定书（楼蓉）</w:t>
      </w:r>
    </w:p>
    <w:p w:rsidR="00613BB6" w:rsidRPr="00613BB6" w:rsidRDefault="00613BB6" w:rsidP="00613BB6">
      <w:pPr>
        <w:widowControl/>
        <w:shd w:val="clear" w:color="auto" w:fill="FFFFFF"/>
        <w:spacing w:line="408" w:lineRule="atLeast"/>
        <w:jc w:val="left"/>
        <w:rPr>
          <w:rFonts w:ascii="微软雅黑" w:eastAsia="微软雅黑" w:hAnsi="微软雅黑" w:cs="宋体" w:hint="eastAsia"/>
          <w:color w:val="000000"/>
          <w:kern w:val="0"/>
          <w:sz w:val="24"/>
          <w:szCs w:val="24"/>
        </w:rPr>
      </w:pPr>
      <w:r w:rsidRPr="00613BB6">
        <w:rPr>
          <w:rFonts w:ascii="楷体" w:eastAsia="楷体" w:hAnsi="楷体" w:cs="宋体" w:hint="eastAsia"/>
          <w:color w:val="000000"/>
          <w:kern w:val="0"/>
          <w:sz w:val="24"/>
          <w:szCs w:val="24"/>
        </w:rPr>
        <w:t xml:space="preserve">　　　　　　　　　　　　　　　　　　　 　〔</w:t>
      </w:r>
      <w:r w:rsidRPr="00613BB6">
        <w:rPr>
          <w:rFonts w:ascii="Calibri" w:eastAsia="楷体" w:hAnsi="Calibri" w:cs="Calibri"/>
          <w:color w:val="000000"/>
          <w:kern w:val="0"/>
          <w:sz w:val="24"/>
          <w:szCs w:val="24"/>
        </w:rPr>
        <w:t> </w:t>
      </w:r>
      <w:r w:rsidRPr="00613BB6">
        <w:rPr>
          <w:rFonts w:ascii="楷体" w:eastAsia="楷体" w:hAnsi="楷体" w:cs="宋体" w:hint="eastAsia"/>
          <w:color w:val="000000"/>
          <w:kern w:val="0"/>
          <w:sz w:val="28"/>
          <w:szCs w:val="28"/>
        </w:rPr>
        <w:t>2019</w:t>
      </w:r>
      <w:r w:rsidRPr="00613BB6">
        <w:rPr>
          <w:rFonts w:ascii="楷体" w:eastAsia="楷体" w:hAnsi="楷体" w:cs="宋体" w:hint="eastAsia"/>
          <w:color w:val="000000"/>
          <w:kern w:val="0"/>
          <w:sz w:val="24"/>
          <w:szCs w:val="24"/>
        </w:rPr>
        <w:t>〕</w:t>
      </w:r>
      <w:r w:rsidRPr="00613BB6">
        <w:rPr>
          <w:rFonts w:ascii="楷体" w:eastAsia="楷体" w:hAnsi="楷体" w:cs="宋体" w:hint="eastAsia"/>
          <w:color w:val="000000"/>
          <w:kern w:val="0"/>
          <w:sz w:val="28"/>
          <w:szCs w:val="28"/>
        </w:rPr>
        <w:t>112</w:t>
      </w:r>
      <w:r w:rsidRPr="00613BB6">
        <w:rPr>
          <w:rFonts w:ascii="楷体" w:eastAsia="楷体" w:hAnsi="楷体" w:cs="宋体" w:hint="eastAsia"/>
          <w:color w:val="000000"/>
          <w:kern w:val="0"/>
          <w:sz w:val="24"/>
          <w:szCs w:val="24"/>
        </w:rPr>
        <w:t>号</w:t>
      </w:r>
    </w:p>
    <w:p w:rsidR="00613BB6" w:rsidRPr="00613BB6" w:rsidRDefault="00613BB6" w:rsidP="00613BB6">
      <w:pPr>
        <w:widowControl/>
        <w:shd w:val="clear" w:color="auto" w:fill="FFFFFF"/>
        <w:spacing w:line="408" w:lineRule="atLeast"/>
        <w:ind w:firstLine="562"/>
        <w:jc w:val="left"/>
        <w:rPr>
          <w:rFonts w:ascii="楷体" w:eastAsia="楷体" w:hAnsi="楷体" w:cs="宋体" w:hint="eastAsia"/>
          <w:color w:val="000000"/>
          <w:kern w:val="0"/>
          <w:sz w:val="24"/>
          <w:szCs w:val="24"/>
        </w:rPr>
      </w:pPr>
      <w:r w:rsidRPr="00613BB6">
        <w:rPr>
          <w:rFonts w:ascii="Calibri" w:eastAsia="楷体" w:hAnsi="Calibri" w:cs="Calibri"/>
          <w:b/>
          <w:bCs/>
          <w:color w:val="000000"/>
          <w:kern w:val="0"/>
          <w:sz w:val="24"/>
          <w:szCs w:val="24"/>
        </w:rPr>
        <w:t> </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当事人：楼蓉，女，</w:t>
      </w:r>
      <w:r w:rsidRPr="00613BB6">
        <w:rPr>
          <w:rFonts w:ascii="楷体" w:eastAsia="楷体" w:hAnsi="楷体" w:cs="宋体" w:hint="eastAsia"/>
          <w:color w:val="000000"/>
          <w:kern w:val="0"/>
          <w:sz w:val="28"/>
          <w:szCs w:val="28"/>
        </w:rPr>
        <w:t>1979年11月出生，</w:t>
      </w:r>
      <w:r w:rsidRPr="00613BB6">
        <w:rPr>
          <w:rFonts w:ascii="楷体" w:eastAsia="楷体" w:hAnsi="楷体" w:cs="宋体" w:hint="eastAsia"/>
          <w:color w:val="000000"/>
          <w:kern w:val="0"/>
          <w:sz w:val="24"/>
          <w:szCs w:val="24"/>
        </w:rPr>
        <w:t>住址：浙江省金华市</w:t>
      </w:r>
      <w:proofErr w:type="gramStart"/>
      <w:r w:rsidRPr="00613BB6">
        <w:rPr>
          <w:rFonts w:ascii="楷体" w:eastAsia="楷体" w:hAnsi="楷体" w:cs="宋体" w:hint="eastAsia"/>
          <w:color w:val="000000"/>
          <w:kern w:val="0"/>
          <w:sz w:val="24"/>
          <w:szCs w:val="24"/>
        </w:rPr>
        <w:t>婺</w:t>
      </w:r>
      <w:proofErr w:type="gramEnd"/>
      <w:r w:rsidRPr="00613BB6">
        <w:rPr>
          <w:rFonts w:ascii="楷体" w:eastAsia="楷体" w:hAnsi="楷体" w:cs="宋体" w:hint="eastAsia"/>
          <w:color w:val="000000"/>
          <w:kern w:val="0"/>
          <w:sz w:val="24"/>
          <w:szCs w:val="24"/>
        </w:rPr>
        <w:t>城区。</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依据《中华人民共和国证券法》（以下简称《证券法》）的规定，我会对楼蓉内幕交易浙江巨龙管业股份有限公司（现更名为艾格拉斯股份有限公司，以下简称巨龙管业）股票行为进行了立案调查、审理，并依法向当事人告知了</w:t>
      </w:r>
      <w:proofErr w:type="gramStart"/>
      <w:r w:rsidRPr="00613BB6">
        <w:rPr>
          <w:rFonts w:ascii="楷体" w:eastAsia="楷体" w:hAnsi="楷体" w:cs="宋体" w:hint="eastAsia"/>
          <w:color w:val="000000"/>
          <w:kern w:val="0"/>
          <w:sz w:val="24"/>
          <w:szCs w:val="24"/>
        </w:rPr>
        <w:t>作出</w:t>
      </w:r>
      <w:proofErr w:type="gramEnd"/>
      <w:r w:rsidRPr="00613BB6">
        <w:rPr>
          <w:rFonts w:ascii="楷体" w:eastAsia="楷体" w:hAnsi="楷体" w:cs="宋体" w:hint="eastAsia"/>
          <w:color w:val="000000"/>
          <w:kern w:val="0"/>
          <w:sz w:val="24"/>
          <w:szCs w:val="24"/>
        </w:rPr>
        <w:t>行政处罚的事实、理由、依据及当事人依法享有的权利。当事人未进行陈述和申辩，也未申请听证。本案现已调查、审理终结。</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经查明，当事人存在以下违法事实：</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一、内幕信息的形成及公开过程</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2015年3月</w:t>
      </w:r>
      <w:r w:rsidRPr="00613BB6">
        <w:rPr>
          <w:rFonts w:ascii="楷体" w:eastAsia="楷体" w:hAnsi="楷体" w:cs="宋体" w:hint="eastAsia"/>
          <w:color w:val="000000"/>
          <w:kern w:val="0"/>
          <w:sz w:val="24"/>
          <w:szCs w:val="24"/>
        </w:rPr>
        <w:t>，巨龙管业完成发行股份购买艾格拉斯科技</w:t>
      </w:r>
      <w:r w:rsidRPr="00613BB6">
        <w:rPr>
          <w:rFonts w:ascii="楷体" w:eastAsia="楷体" w:hAnsi="楷体" w:cs="宋体" w:hint="eastAsia"/>
          <w:color w:val="000000"/>
          <w:kern w:val="0"/>
          <w:sz w:val="28"/>
          <w:szCs w:val="28"/>
        </w:rPr>
        <w:t>(北京)有限公司</w:t>
      </w:r>
      <w:r w:rsidRPr="00613BB6">
        <w:rPr>
          <w:rFonts w:ascii="楷体" w:eastAsia="楷体" w:hAnsi="楷体" w:cs="宋体" w:hint="eastAsia"/>
          <w:color w:val="000000"/>
          <w:kern w:val="0"/>
          <w:sz w:val="24"/>
          <w:szCs w:val="24"/>
        </w:rPr>
        <w:t>资产的重大重组，巨龙管业变为双主业运营，包括传统混凝土输水管道业务和以手机游戏为核心的互联网信息服务、软件及文化产业等业务。由于传统业务经营不佳，业绩持续下滑出现亏损，故筹划转型，出售传统混凝土输水管道业务及相关资产和负债。</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2016年5月，巨龙管业开始进行重大资产出售事项</w:t>
      </w:r>
      <w:r w:rsidRPr="00613BB6">
        <w:rPr>
          <w:rFonts w:ascii="楷体" w:eastAsia="楷体" w:hAnsi="楷体" w:cs="宋体" w:hint="eastAsia"/>
          <w:color w:val="000000"/>
          <w:kern w:val="0"/>
          <w:sz w:val="24"/>
          <w:szCs w:val="24"/>
        </w:rPr>
        <w:t>，由于种种原因，资产剥离事项未能如期在</w:t>
      </w:r>
      <w:r w:rsidRPr="00613BB6">
        <w:rPr>
          <w:rFonts w:ascii="楷体" w:eastAsia="楷体" w:hAnsi="楷体" w:cs="宋体" w:hint="eastAsia"/>
          <w:color w:val="000000"/>
          <w:kern w:val="0"/>
          <w:sz w:val="28"/>
          <w:szCs w:val="28"/>
        </w:rPr>
        <w:t>2016年11月完成。</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2016年11月17日，巨龙管业董事会审议通过继续推进重大资产出售事项。</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lastRenderedPageBreak/>
        <w:t>2016年11月18日公告，经董事会审议，决定继续推进重大资产出售事项，由董事长</w:t>
      </w:r>
      <w:r w:rsidRPr="00613BB6">
        <w:rPr>
          <w:rFonts w:ascii="楷体" w:eastAsia="楷体" w:hAnsi="楷体" w:cs="宋体" w:hint="eastAsia"/>
          <w:color w:val="000000"/>
          <w:kern w:val="0"/>
          <w:sz w:val="24"/>
          <w:szCs w:val="24"/>
        </w:rPr>
        <w:t>吕某高和财务总监吕某仁、</w:t>
      </w:r>
      <w:proofErr w:type="gramStart"/>
      <w:r w:rsidRPr="00613BB6">
        <w:rPr>
          <w:rFonts w:ascii="楷体" w:eastAsia="楷体" w:hAnsi="楷体" w:cs="宋体" w:hint="eastAsia"/>
          <w:color w:val="000000"/>
          <w:kern w:val="0"/>
          <w:sz w:val="24"/>
          <w:szCs w:val="24"/>
        </w:rPr>
        <w:t>董秘郑某</w:t>
      </w:r>
      <w:proofErr w:type="gramEnd"/>
      <w:r w:rsidRPr="00613BB6">
        <w:rPr>
          <w:rFonts w:ascii="楷体" w:eastAsia="楷体" w:hAnsi="楷体" w:cs="宋体" w:hint="eastAsia"/>
          <w:color w:val="000000"/>
          <w:kern w:val="0"/>
          <w:sz w:val="24"/>
          <w:szCs w:val="24"/>
        </w:rPr>
        <w:t>重新启动该项工作。</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2016年12月30日之前，</w:t>
      </w:r>
      <w:r w:rsidRPr="00613BB6">
        <w:rPr>
          <w:rFonts w:ascii="楷体" w:eastAsia="楷体" w:hAnsi="楷体" w:cs="宋体" w:hint="eastAsia"/>
          <w:color w:val="000000"/>
          <w:kern w:val="0"/>
          <w:sz w:val="24"/>
          <w:szCs w:val="24"/>
        </w:rPr>
        <w:t>巨龙管业副董事长王某义、董事刘某玉、吕某高和郑某多次在电话或见面讨论</w:t>
      </w:r>
      <w:proofErr w:type="gramStart"/>
      <w:r w:rsidRPr="00613BB6">
        <w:rPr>
          <w:rFonts w:ascii="楷体" w:eastAsia="楷体" w:hAnsi="楷体" w:cs="宋体" w:hint="eastAsia"/>
          <w:color w:val="000000"/>
          <w:kern w:val="0"/>
          <w:sz w:val="24"/>
          <w:szCs w:val="24"/>
        </w:rPr>
        <w:t>过资产</w:t>
      </w:r>
      <w:proofErr w:type="gramEnd"/>
      <w:r w:rsidRPr="00613BB6">
        <w:rPr>
          <w:rFonts w:ascii="楷体" w:eastAsia="楷体" w:hAnsi="楷体" w:cs="宋体" w:hint="eastAsia"/>
          <w:color w:val="000000"/>
          <w:kern w:val="0"/>
          <w:sz w:val="24"/>
          <w:szCs w:val="24"/>
        </w:rPr>
        <w:t>出售的问题。</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2016年12月27日、28日，为筹措资金以尽快实施资产剥离，吕某高、</w:t>
      </w:r>
      <w:r w:rsidRPr="00613BB6">
        <w:rPr>
          <w:rFonts w:ascii="楷体" w:eastAsia="楷体" w:hAnsi="楷体" w:cs="宋体" w:hint="eastAsia"/>
          <w:color w:val="000000"/>
          <w:kern w:val="0"/>
          <w:sz w:val="24"/>
          <w:szCs w:val="24"/>
        </w:rPr>
        <w:t>巨龙管业总经理吕某杰通过大宗交易分别减持</w:t>
      </w:r>
      <w:r w:rsidRPr="00613BB6">
        <w:rPr>
          <w:rFonts w:ascii="楷体" w:eastAsia="楷体" w:hAnsi="楷体" w:cs="宋体" w:hint="eastAsia"/>
          <w:color w:val="000000"/>
          <w:kern w:val="0"/>
          <w:sz w:val="28"/>
          <w:szCs w:val="28"/>
        </w:rPr>
        <w:t>500万股和474万股。</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2016年底，双方基本达成管业资产剥离、后续变更经营范围等一系列公司转型的共识。</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2017年2月13日，巨龙管业年报审计机构天健会计师事务所进场审计</w:t>
      </w:r>
      <w:r w:rsidRPr="00613BB6">
        <w:rPr>
          <w:rFonts w:ascii="楷体" w:eastAsia="楷体" w:hAnsi="楷体" w:cs="宋体" w:hint="eastAsia"/>
          <w:color w:val="000000"/>
          <w:kern w:val="0"/>
          <w:sz w:val="24"/>
          <w:szCs w:val="24"/>
        </w:rPr>
        <w:t>，郑某通知长城证券等其他中介同期进场推进巨龙管业资产剥离事项。</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2017年3月2日召开剥离管业资产的中介协调会（电话会议），并制作了相关推进时间表。3月6日成立了“JL资产出售”</w:t>
      </w:r>
      <w:proofErr w:type="gramStart"/>
      <w:r w:rsidRPr="00613BB6">
        <w:rPr>
          <w:rFonts w:ascii="楷体" w:eastAsia="楷体" w:hAnsi="楷体" w:cs="宋体" w:hint="eastAsia"/>
          <w:color w:val="000000"/>
          <w:kern w:val="0"/>
          <w:sz w:val="28"/>
          <w:szCs w:val="28"/>
        </w:rPr>
        <w:t>微信群</w:t>
      </w:r>
      <w:proofErr w:type="gramEnd"/>
      <w:r w:rsidRPr="00613BB6">
        <w:rPr>
          <w:rFonts w:ascii="楷体" w:eastAsia="楷体" w:hAnsi="楷体" w:cs="宋体" w:hint="eastAsia"/>
          <w:color w:val="000000"/>
          <w:kern w:val="0"/>
          <w:sz w:val="28"/>
          <w:szCs w:val="28"/>
        </w:rPr>
        <w:t>。</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2017年4月中旬，中介机构基本完成审计、评估初稿</w:t>
      </w:r>
      <w:r w:rsidRPr="00613BB6">
        <w:rPr>
          <w:rFonts w:ascii="楷体" w:eastAsia="楷体" w:hAnsi="楷体" w:cs="宋体" w:hint="eastAsia"/>
          <w:color w:val="000000"/>
          <w:kern w:val="0"/>
          <w:sz w:val="24"/>
          <w:szCs w:val="24"/>
        </w:rPr>
        <w:t>。</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2017年5月9日，吕</w:t>
      </w:r>
      <w:r w:rsidRPr="00613BB6">
        <w:rPr>
          <w:rFonts w:ascii="楷体" w:eastAsia="楷体" w:hAnsi="楷体" w:cs="宋体" w:hint="eastAsia"/>
          <w:color w:val="000000"/>
          <w:kern w:val="0"/>
          <w:sz w:val="24"/>
          <w:szCs w:val="24"/>
        </w:rPr>
        <w:t>某高、郑某、刘某玉等对巨龙管业剥离管业资产等问题进行沟通，并达成一致意见。</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2017年6月19日，巨龙管业与巨龙控股集团签署《浙江巨龙管业股份有限公司附生效条件之资产出售协议》，将巨龙管业的混凝土管道业务及相关资产与负债整体转让给巨龙控股集团，交易对价为账面净资产5.19亿元。2017年6月21日，</w:t>
      </w:r>
      <w:r w:rsidRPr="00613BB6">
        <w:rPr>
          <w:rFonts w:ascii="楷体" w:eastAsia="楷体" w:hAnsi="楷体" w:cs="宋体" w:hint="eastAsia"/>
          <w:color w:val="000000"/>
          <w:kern w:val="0"/>
          <w:sz w:val="24"/>
          <w:szCs w:val="24"/>
        </w:rPr>
        <w:t>上市公司予以公告。</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lastRenderedPageBreak/>
        <w:t>巨龙管业拟出售的混凝土输水管道业务在</w:t>
      </w:r>
      <w:r w:rsidRPr="00613BB6">
        <w:rPr>
          <w:rFonts w:ascii="楷体" w:eastAsia="楷体" w:hAnsi="楷体" w:cs="宋体" w:hint="eastAsia"/>
          <w:color w:val="000000"/>
          <w:kern w:val="0"/>
          <w:sz w:val="28"/>
          <w:szCs w:val="28"/>
        </w:rPr>
        <w:t>2016</w:t>
      </w:r>
      <w:r w:rsidRPr="00613BB6">
        <w:rPr>
          <w:rFonts w:ascii="楷体" w:eastAsia="楷体" w:hAnsi="楷体" w:cs="宋体" w:hint="eastAsia"/>
          <w:color w:val="000000"/>
          <w:kern w:val="0"/>
          <w:sz w:val="24"/>
          <w:szCs w:val="24"/>
        </w:rPr>
        <w:t>年的营业收入为</w:t>
      </w:r>
      <w:r w:rsidRPr="00613BB6">
        <w:rPr>
          <w:rFonts w:ascii="楷体" w:eastAsia="楷体" w:hAnsi="楷体" w:cs="宋体" w:hint="eastAsia"/>
          <w:color w:val="000000"/>
          <w:kern w:val="0"/>
          <w:sz w:val="28"/>
          <w:szCs w:val="28"/>
        </w:rPr>
        <w:t>22,325.37万元，占同期上市公司营业收入的比例为39.72%，交易价格为5.19亿，数额巨大，对上市公司的经营成果产生重要影响。</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楷体" w:eastAsia="楷体" w:hAnsi="楷体" w:cs="宋体" w:hint="eastAsia"/>
          <w:color w:val="000000"/>
          <w:kern w:val="0"/>
          <w:sz w:val="24"/>
          <w:szCs w:val="24"/>
        </w:rPr>
        <w:t>巨龙管业与巨龙控股集团签订协议拟出售混凝土输水管道业务及相关资产和负债属于《证券法》第六十七条第二款第三项</w:t>
      </w:r>
      <w:r w:rsidRPr="00613BB6">
        <w:rPr>
          <w:rFonts w:ascii="楷体" w:eastAsia="楷体" w:hAnsi="楷体" w:cs="宋体" w:hint="eastAsia"/>
          <w:color w:val="000000"/>
          <w:kern w:val="0"/>
          <w:sz w:val="28"/>
          <w:szCs w:val="28"/>
        </w:rPr>
        <w:t>“公司订立重要合同，可能对公司的资产、负债、权益和经营成果产生重要影响”的重大</w:t>
      </w:r>
      <w:r w:rsidRPr="00613BB6">
        <w:rPr>
          <w:rFonts w:ascii="楷体" w:eastAsia="楷体" w:hAnsi="楷体" w:cs="宋体" w:hint="eastAsia"/>
          <w:color w:val="000000"/>
          <w:kern w:val="0"/>
          <w:sz w:val="24"/>
          <w:szCs w:val="24"/>
        </w:rPr>
        <w:t>事件，在公开前属于《证券法》第七十五条第二款第一项规定的内幕信息。该内幕信息形成时间不晚于</w:t>
      </w:r>
      <w:r w:rsidRPr="00613BB6">
        <w:rPr>
          <w:rFonts w:ascii="楷体" w:eastAsia="楷体" w:hAnsi="楷体" w:cs="宋体" w:hint="eastAsia"/>
          <w:color w:val="000000"/>
          <w:kern w:val="0"/>
          <w:sz w:val="28"/>
          <w:szCs w:val="28"/>
        </w:rPr>
        <w:t>2016年12月27日</w:t>
      </w:r>
      <w:r w:rsidRPr="00613BB6">
        <w:rPr>
          <w:rFonts w:ascii="楷体" w:eastAsia="楷体" w:hAnsi="楷体" w:cs="宋体" w:hint="eastAsia"/>
          <w:color w:val="000000"/>
          <w:kern w:val="0"/>
          <w:sz w:val="24"/>
          <w:szCs w:val="24"/>
        </w:rPr>
        <w:t>，公开于</w:t>
      </w:r>
      <w:r w:rsidRPr="00613BB6">
        <w:rPr>
          <w:rFonts w:ascii="楷体" w:eastAsia="楷体" w:hAnsi="楷体" w:cs="宋体" w:hint="eastAsia"/>
          <w:color w:val="000000"/>
          <w:kern w:val="0"/>
          <w:sz w:val="28"/>
          <w:szCs w:val="28"/>
        </w:rPr>
        <w:t>2017年6月21日</w:t>
      </w:r>
      <w:r w:rsidRPr="00613BB6">
        <w:rPr>
          <w:rFonts w:ascii="楷体" w:eastAsia="楷体" w:hAnsi="楷体" w:cs="宋体" w:hint="eastAsia"/>
          <w:color w:val="000000"/>
          <w:kern w:val="0"/>
          <w:sz w:val="24"/>
          <w:szCs w:val="24"/>
        </w:rPr>
        <w:t>。依据《证券法》第七十四条第一项的规定，吕某高、吕某仁主导或参与上市公司出售混凝土输水管道业务及相关资产和负债方案的制定及相关具体工作，为内幕信息知情人。</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Calibri" w:eastAsia="楷体" w:hAnsi="Calibri" w:cs="Calibri"/>
          <w:color w:val="000000"/>
          <w:kern w:val="0"/>
          <w:sz w:val="28"/>
          <w:szCs w:val="28"/>
        </w:rPr>
        <w:t> </w:t>
      </w:r>
      <w:r w:rsidRPr="00613BB6">
        <w:rPr>
          <w:rFonts w:ascii="楷体" w:eastAsia="楷体" w:hAnsi="楷体" w:cs="宋体" w:hint="eastAsia"/>
          <w:color w:val="000000"/>
          <w:kern w:val="0"/>
          <w:sz w:val="24"/>
          <w:szCs w:val="24"/>
        </w:rPr>
        <w:t>二、当事人利用</w:t>
      </w:r>
      <w:r w:rsidRPr="00613BB6">
        <w:rPr>
          <w:rFonts w:ascii="楷体" w:eastAsia="楷体" w:hAnsi="楷体" w:cs="宋体" w:hint="eastAsia"/>
          <w:color w:val="000000"/>
          <w:kern w:val="0"/>
          <w:sz w:val="28"/>
          <w:szCs w:val="28"/>
        </w:rPr>
        <w:t>“林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”证券账户</w:t>
      </w:r>
      <w:r w:rsidRPr="00613BB6">
        <w:rPr>
          <w:rFonts w:ascii="楷体" w:eastAsia="楷体" w:hAnsi="楷体" w:cs="宋体" w:hint="eastAsia"/>
          <w:color w:val="000000"/>
          <w:kern w:val="0"/>
          <w:sz w:val="24"/>
          <w:szCs w:val="24"/>
        </w:rPr>
        <w:t>交易</w:t>
      </w:r>
      <w:r w:rsidRPr="00613BB6">
        <w:rPr>
          <w:rFonts w:ascii="楷体" w:eastAsia="楷体" w:hAnsi="楷体" w:cs="宋体" w:hint="eastAsia"/>
          <w:color w:val="000000"/>
          <w:kern w:val="0"/>
          <w:sz w:val="28"/>
          <w:szCs w:val="28"/>
        </w:rPr>
        <w:t>“巨龙管业”</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（一）</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”证券账户开立及交易情况</w:t>
      </w:r>
    </w:p>
    <w:p w:rsidR="00613BB6" w:rsidRPr="00613BB6" w:rsidRDefault="00613BB6" w:rsidP="00613BB6">
      <w:pPr>
        <w:widowControl/>
        <w:shd w:val="clear" w:color="auto" w:fill="FFFFFF"/>
        <w:spacing w:line="408" w:lineRule="atLeas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”证券账户于2010年11月3日开立于</w:t>
      </w:r>
      <w:proofErr w:type="gramStart"/>
      <w:r w:rsidRPr="00613BB6">
        <w:rPr>
          <w:rFonts w:ascii="楷体" w:eastAsia="楷体" w:hAnsi="楷体" w:cs="宋体" w:hint="eastAsia"/>
          <w:color w:val="000000"/>
          <w:kern w:val="0"/>
          <w:sz w:val="28"/>
          <w:szCs w:val="28"/>
        </w:rPr>
        <w:t>浙商证券</w:t>
      </w:r>
      <w:proofErr w:type="gramEnd"/>
      <w:r w:rsidRPr="00613BB6">
        <w:rPr>
          <w:rFonts w:ascii="楷体" w:eastAsia="楷体" w:hAnsi="楷体" w:cs="宋体" w:hint="eastAsia"/>
          <w:color w:val="000000"/>
          <w:kern w:val="0"/>
          <w:sz w:val="24"/>
          <w:szCs w:val="24"/>
        </w:rPr>
        <w:t>股份有限公司金华后街营业部，资金账号</w:t>
      </w:r>
      <w:r w:rsidRPr="00613BB6">
        <w:rPr>
          <w:rFonts w:ascii="楷体" w:eastAsia="楷体" w:hAnsi="楷体" w:cs="宋体" w:hint="eastAsia"/>
          <w:color w:val="000000"/>
          <w:kern w:val="0"/>
          <w:sz w:val="28"/>
          <w:szCs w:val="28"/>
        </w:rPr>
        <w:t>26****862，未设置代理人。</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2016年1月1日至2017年1月4日，“林某华”证券账户无股票交易记录。2017年1月5日至4月26日买入“巨龙管业”821,700股，成交金额合计12,888,090元；2018年1月24日至1月30日卖出374,000股</w:t>
      </w:r>
      <w:r w:rsidRPr="00613BB6">
        <w:rPr>
          <w:rFonts w:ascii="楷体" w:eastAsia="楷体" w:hAnsi="楷体" w:cs="宋体" w:hint="eastAsia"/>
          <w:color w:val="000000"/>
          <w:kern w:val="0"/>
          <w:sz w:val="24"/>
          <w:szCs w:val="24"/>
        </w:rPr>
        <w:t>，成交金额合计</w:t>
      </w:r>
      <w:r w:rsidRPr="00613BB6">
        <w:rPr>
          <w:rFonts w:ascii="楷体" w:eastAsia="楷体" w:hAnsi="楷体" w:cs="宋体" w:hint="eastAsia"/>
          <w:color w:val="000000"/>
          <w:kern w:val="0"/>
          <w:sz w:val="28"/>
          <w:szCs w:val="28"/>
        </w:rPr>
        <w:t>2,382,700</w:t>
      </w:r>
      <w:r w:rsidRPr="00613BB6">
        <w:rPr>
          <w:rFonts w:ascii="楷体" w:eastAsia="楷体" w:hAnsi="楷体" w:cs="宋体" w:hint="eastAsia"/>
          <w:color w:val="000000"/>
          <w:kern w:val="0"/>
          <w:sz w:val="24"/>
          <w:szCs w:val="24"/>
        </w:rPr>
        <w:t>元。截至</w:t>
      </w:r>
      <w:r w:rsidRPr="00613BB6">
        <w:rPr>
          <w:rFonts w:ascii="楷体" w:eastAsia="楷体" w:hAnsi="楷体" w:cs="宋体" w:hint="eastAsia"/>
          <w:color w:val="000000"/>
          <w:kern w:val="0"/>
          <w:sz w:val="28"/>
          <w:szCs w:val="28"/>
        </w:rPr>
        <w:t>2019年5月29日，账户“巨龙管业”已全部卖出，经深圳证券交易所计算，亏损6,575,065.59元。</w:t>
      </w:r>
    </w:p>
    <w:p w:rsidR="00613BB6" w:rsidRPr="00613BB6" w:rsidRDefault="00613BB6" w:rsidP="00613BB6">
      <w:pPr>
        <w:widowControl/>
        <w:shd w:val="clear" w:color="auto" w:fill="FFFFFF"/>
        <w:spacing w:line="408" w:lineRule="atLeast"/>
        <w:ind w:firstLine="560"/>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（二）</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”证券账户资金</w:t>
      </w:r>
      <w:r w:rsidRPr="00613BB6">
        <w:rPr>
          <w:rFonts w:ascii="楷体" w:eastAsia="楷体" w:hAnsi="楷体" w:cs="宋体" w:hint="eastAsia"/>
          <w:color w:val="000000"/>
          <w:kern w:val="0"/>
          <w:sz w:val="24"/>
          <w:szCs w:val="24"/>
        </w:rPr>
        <w:t>来源情况</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2017</w:t>
      </w:r>
      <w:r w:rsidRPr="00613BB6">
        <w:rPr>
          <w:rFonts w:ascii="楷体" w:eastAsia="楷体" w:hAnsi="楷体" w:cs="宋体" w:hint="eastAsia"/>
          <w:color w:val="000000"/>
          <w:kern w:val="0"/>
          <w:sz w:val="24"/>
          <w:szCs w:val="24"/>
        </w:rPr>
        <w:t>年</w:t>
      </w:r>
      <w:r w:rsidRPr="00613BB6">
        <w:rPr>
          <w:rFonts w:ascii="楷体" w:eastAsia="楷体" w:hAnsi="楷体" w:cs="宋体" w:hint="eastAsia"/>
          <w:color w:val="000000"/>
          <w:kern w:val="0"/>
          <w:sz w:val="28"/>
          <w:szCs w:val="28"/>
        </w:rPr>
        <w:t>1</w:t>
      </w:r>
      <w:r w:rsidRPr="00613BB6">
        <w:rPr>
          <w:rFonts w:ascii="楷体" w:eastAsia="楷体" w:hAnsi="楷体" w:cs="宋体" w:hint="eastAsia"/>
          <w:color w:val="000000"/>
          <w:kern w:val="0"/>
          <w:sz w:val="24"/>
          <w:szCs w:val="24"/>
        </w:rPr>
        <w:t>月</w:t>
      </w:r>
      <w:r w:rsidRPr="00613BB6">
        <w:rPr>
          <w:rFonts w:ascii="楷体" w:eastAsia="楷体" w:hAnsi="楷体" w:cs="宋体" w:hint="eastAsia"/>
          <w:color w:val="000000"/>
          <w:kern w:val="0"/>
          <w:sz w:val="28"/>
          <w:szCs w:val="28"/>
        </w:rPr>
        <w:t>5日至4</w:t>
      </w:r>
      <w:r w:rsidRPr="00613BB6">
        <w:rPr>
          <w:rFonts w:ascii="楷体" w:eastAsia="楷体" w:hAnsi="楷体" w:cs="宋体" w:hint="eastAsia"/>
          <w:color w:val="000000"/>
          <w:kern w:val="0"/>
          <w:sz w:val="24"/>
          <w:szCs w:val="24"/>
        </w:rPr>
        <w:t>月</w:t>
      </w:r>
      <w:r w:rsidRPr="00613BB6">
        <w:rPr>
          <w:rFonts w:ascii="楷体" w:eastAsia="楷体" w:hAnsi="楷体" w:cs="宋体" w:hint="eastAsia"/>
          <w:color w:val="000000"/>
          <w:kern w:val="0"/>
          <w:sz w:val="28"/>
          <w:szCs w:val="28"/>
        </w:rPr>
        <w:t>26</w:t>
      </w:r>
      <w:r w:rsidRPr="00613BB6">
        <w:rPr>
          <w:rFonts w:ascii="楷体" w:eastAsia="楷体" w:hAnsi="楷体" w:cs="宋体" w:hint="eastAsia"/>
          <w:color w:val="000000"/>
          <w:kern w:val="0"/>
          <w:sz w:val="24"/>
          <w:szCs w:val="24"/>
        </w:rPr>
        <w:t>日，</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”证券账户对应的三方存管账户累计转入1,300</w:t>
      </w:r>
      <w:r w:rsidRPr="00613BB6">
        <w:rPr>
          <w:rFonts w:ascii="楷体" w:eastAsia="楷体" w:hAnsi="楷体" w:cs="宋体" w:hint="eastAsia"/>
          <w:color w:val="000000"/>
          <w:kern w:val="0"/>
          <w:sz w:val="24"/>
          <w:szCs w:val="24"/>
        </w:rPr>
        <w:t>万元，全部来源于当事人的配偶吕某高。</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lastRenderedPageBreak/>
        <w:t>（三）</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”证券账户决策、操作</w:t>
      </w:r>
      <w:r w:rsidRPr="00613BB6">
        <w:rPr>
          <w:rFonts w:ascii="楷体" w:eastAsia="楷体" w:hAnsi="楷体" w:cs="宋体" w:hint="eastAsia"/>
          <w:color w:val="000000"/>
          <w:kern w:val="0"/>
          <w:sz w:val="24"/>
          <w:szCs w:val="24"/>
        </w:rPr>
        <w:t>情况</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Calibri" w:eastAsia="楷体" w:hAnsi="Calibri" w:cs="Calibri"/>
          <w:color w:val="000000"/>
          <w:kern w:val="0"/>
          <w:sz w:val="28"/>
          <w:szCs w:val="28"/>
        </w:rPr>
        <w:t> </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”证券账户于2017年1月5日至10日、1月17日、1月24日至2月20日、3月31日、4月25日至26日买入“巨龙管业”都是通过手机委托下单方式交易，下单手机号</w:t>
      </w:r>
      <w:r w:rsidRPr="00613BB6">
        <w:rPr>
          <w:rFonts w:ascii="楷体" w:eastAsia="楷体" w:hAnsi="楷体" w:cs="宋体" w:hint="eastAsia"/>
          <w:color w:val="000000"/>
          <w:kern w:val="0"/>
          <w:sz w:val="24"/>
          <w:szCs w:val="24"/>
        </w:rPr>
        <w:t>均为</w:t>
      </w:r>
      <w:r w:rsidRPr="00613BB6">
        <w:rPr>
          <w:rFonts w:ascii="楷体" w:eastAsia="楷体" w:hAnsi="楷体" w:cs="宋体" w:hint="eastAsia"/>
          <w:color w:val="000000"/>
          <w:kern w:val="0"/>
          <w:sz w:val="28"/>
          <w:szCs w:val="28"/>
        </w:rPr>
        <w:t>135****2055，该号码为</w:t>
      </w:r>
      <w:r w:rsidRPr="00613BB6">
        <w:rPr>
          <w:rFonts w:ascii="楷体" w:eastAsia="楷体" w:hAnsi="楷体" w:cs="宋体" w:hint="eastAsia"/>
          <w:color w:val="000000"/>
          <w:kern w:val="0"/>
          <w:sz w:val="24"/>
          <w:szCs w:val="24"/>
        </w:rPr>
        <w:t>当事人独立使用。当事人承认</w:t>
      </w:r>
      <w:r w:rsidRPr="00613BB6">
        <w:rPr>
          <w:rFonts w:ascii="楷体" w:eastAsia="楷体" w:hAnsi="楷体" w:cs="宋体" w:hint="eastAsia"/>
          <w:color w:val="000000"/>
          <w:kern w:val="0"/>
          <w:sz w:val="28"/>
          <w:szCs w:val="28"/>
        </w:rPr>
        <w:t>“林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”证券账户买卖“巨龙管业”股票的决策人和操作人</w:t>
      </w:r>
      <w:r w:rsidRPr="00613BB6">
        <w:rPr>
          <w:rFonts w:ascii="楷体" w:eastAsia="楷体" w:hAnsi="楷体" w:cs="宋体" w:hint="eastAsia"/>
          <w:color w:val="000000"/>
          <w:kern w:val="0"/>
          <w:sz w:val="24"/>
          <w:szCs w:val="24"/>
        </w:rPr>
        <w:t>均是自己。</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楷体" w:eastAsia="楷体" w:hAnsi="楷体" w:cs="宋体" w:hint="eastAsia"/>
          <w:color w:val="000000"/>
          <w:kern w:val="0"/>
          <w:sz w:val="24"/>
          <w:szCs w:val="24"/>
        </w:rPr>
        <w:t>（四）当事人与内幕信息知情人吕某高关系密切</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楷体" w:eastAsia="楷体" w:hAnsi="楷体" w:cs="宋体" w:hint="eastAsia"/>
          <w:color w:val="000000"/>
          <w:kern w:val="0"/>
          <w:sz w:val="24"/>
          <w:szCs w:val="24"/>
        </w:rPr>
        <w:t>当事人是内幕信息知情人吕某高的配偶，属于内幕信息知情人的近亲属，两人居住在一起，育有一子，关系密切，且用于购买</w:t>
      </w:r>
      <w:r w:rsidRPr="00613BB6">
        <w:rPr>
          <w:rFonts w:ascii="楷体" w:eastAsia="楷体" w:hAnsi="楷体" w:cs="宋体" w:hint="eastAsia"/>
          <w:color w:val="000000"/>
          <w:kern w:val="0"/>
          <w:sz w:val="28"/>
          <w:szCs w:val="28"/>
        </w:rPr>
        <w:t>“巨龙管业”的资金</w:t>
      </w:r>
      <w:r w:rsidRPr="00613BB6">
        <w:rPr>
          <w:rFonts w:ascii="楷体" w:eastAsia="楷体" w:hAnsi="楷体" w:cs="宋体" w:hint="eastAsia"/>
          <w:color w:val="000000"/>
          <w:kern w:val="0"/>
          <w:sz w:val="24"/>
          <w:szCs w:val="24"/>
        </w:rPr>
        <w:t>系吕某高转入。</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楷体" w:eastAsia="楷体" w:hAnsi="楷体" w:cs="宋体" w:hint="eastAsia"/>
          <w:color w:val="000000"/>
          <w:kern w:val="0"/>
          <w:sz w:val="24"/>
          <w:szCs w:val="24"/>
        </w:rPr>
        <w:t>（五）账户交易特征分析</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1.内幕信息形成之前，“林某华”证券账户无股票交易记录。</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2.“</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”证券账户买入“巨龙管业”股票存在买入坚决、全仓买入的特征。“林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”账户基本在银证转账转入资金</w:t>
      </w:r>
      <w:r w:rsidRPr="00613BB6">
        <w:rPr>
          <w:rFonts w:ascii="楷体" w:eastAsia="楷体" w:hAnsi="楷体" w:cs="宋体" w:hint="eastAsia"/>
          <w:color w:val="000000"/>
          <w:kern w:val="0"/>
          <w:sz w:val="24"/>
          <w:szCs w:val="24"/>
        </w:rPr>
        <w:t>后就全仓买入，买入坚决。</w:t>
      </w:r>
    </w:p>
    <w:p w:rsidR="00613BB6" w:rsidRPr="00613BB6" w:rsidRDefault="00613BB6" w:rsidP="00613BB6">
      <w:pPr>
        <w:widowControl/>
        <w:shd w:val="clear" w:color="auto" w:fill="FFFFFF"/>
        <w:spacing w:line="408" w:lineRule="atLeast"/>
        <w:ind w:firstLine="560"/>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3.“林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”证券账户买入“巨龙管业”股票存在买入股票单一异常特征。2017年1月5日至5月24日，“林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”账户</w:t>
      </w:r>
      <w:r w:rsidRPr="00613BB6">
        <w:rPr>
          <w:rFonts w:ascii="楷体" w:eastAsia="楷体" w:hAnsi="楷体" w:cs="宋体" w:hint="eastAsia"/>
          <w:color w:val="000000"/>
          <w:kern w:val="0"/>
          <w:sz w:val="24"/>
          <w:szCs w:val="24"/>
        </w:rPr>
        <w:t>除新股申购外，</w:t>
      </w:r>
      <w:proofErr w:type="gramStart"/>
      <w:r w:rsidRPr="00613BB6">
        <w:rPr>
          <w:rFonts w:ascii="楷体" w:eastAsia="楷体" w:hAnsi="楷体" w:cs="宋体" w:hint="eastAsia"/>
          <w:color w:val="000000"/>
          <w:kern w:val="0"/>
          <w:sz w:val="24"/>
          <w:szCs w:val="24"/>
        </w:rPr>
        <w:t>仅交易</w:t>
      </w:r>
      <w:proofErr w:type="gramEnd"/>
      <w:r w:rsidRPr="00613BB6">
        <w:rPr>
          <w:rFonts w:ascii="楷体" w:eastAsia="楷体" w:hAnsi="楷体" w:cs="宋体" w:hint="eastAsia"/>
          <w:color w:val="000000"/>
          <w:kern w:val="0"/>
          <w:sz w:val="28"/>
          <w:szCs w:val="28"/>
        </w:rPr>
        <w:t>“巨龙管业”</w:t>
      </w:r>
      <w:r w:rsidRPr="00613BB6">
        <w:rPr>
          <w:rFonts w:ascii="楷体" w:eastAsia="楷体" w:hAnsi="楷体" w:cs="宋体" w:hint="eastAsia"/>
          <w:color w:val="000000"/>
          <w:kern w:val="0"/>
          <w:sz w:val="24"/>
          <w:szCs w:val="24"/>
        </w:rPr>
        <w:t>一只股票。</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4.“林</w:t>
      </w:r>
      <w:r w:rsidRPr="00613BB6">
        <w:rPr>
          <w:rFonts w:ascii="楷体" w:eastAsia="楷体" w:hAnsi="楷体" w:cs="宋体" w:hint="eastAsia"/>
          <w:color w:val="000000"/>
          <w:kern w:val="0"/>
          <w:sz w:val="24"/>
          <w:szCs w:val="24"/>
        </w:rPr>
        <w:t>某华</w:t>
      </w:r>
      <w:r w:rsidRPr="00613BB6">
        <w:rPr>
          <w:rFonts w:ascii="楷体" w:eastAsia="楷体" w:hAnsi="楷体" w:cs="宋体" w:hint="eastAsia"/>
          <w:color w:val="000000"/>
          <w:kern w:val="0"/>
          <w:sz w:val="28"/>
          <w:szCs w:val="28"/>
        </w:rPr>
        <w:t>”银证转入资金和购买股票的时点与内幕信息的发展变化</w:t>
      </w:r>
      <w:r w:rsidRPr="00613BB6">
        <w:rPr>
          <w:rFonts w:ascii="楷体" w:eastAsia="楷体" w:hAnsi="楷体" w:cs="宋体" w:hint="eastAsia"/>
          <w:color w:val="000000"/>
          <w:kern w:val="0"/>
          <w:sz w:val="24"/>
          <w:szCs w:val="24"/>
        </w:rPr>
        <w:t>过程高度吻合，交易行为明显异常。</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以上事实有证券账户资料、银行账户资料、银证转账记录、询问笔录、上市公司公告、交易所相关数据信息等证据证明，足以认定。</w:t>
      </w:r>
    </w:p>
    <w:p w:rsidR="00613BB6" w:rsidRPr="00613BB6" w:rsidRDefault="00613BB6" w:rsidP="00613BB6">
      <w:pPr>
        <w:widowControl/>
        <w:shd w:val="clear" w:color="auto" w:fill="FFFFFF"/>
        <w:spacing w:line="408" w:lineRule="atLeast"/>
        <w:ind w:firstLine="560"/>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我会认为，吕某高是法定内幕信息知情人，当事人作为其配偶，属于内幕信息知情人的近亲属，在内幕信息公开前，一起居住，关系密切。结合账户资金实际来源于吕某高，资金转入、账户交易与内幕信息形成和发展过程高度吻合等证据，当事人利用</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林某华</w:t>
      </w:r>
      <w:r w:rsidRPr="00613BB6">
        <w:rPr>
          <w:rFonts w:ascii="楷体" w:eastAsia="楷体" w:hAnsi="楷体" w:cs="宋体" w:hint="eastAsia"/>
          <w:color w:val="000000"/>
          <w:kern w:val="0"/>
          <w:sz w:val="28"/>
          <w:szCs w:val="28"/>
        </w:rPr>
        <w:t>”证券账户内幕交易“</w:t>
      </w:r>
      <w:r w:rsidRPr="00613BB6">
        <w:rPr>
          <w:rFonts w:ascii="楷体" w:eastAsia="楷体" w:hAnsi="楷体" w:cs="宋体" w:hint="eastAsia"/>
          <w:color w:val="000000"/>
          <w:kern w:val="0"/>
          <w:sz w:val="24"/>
          <w:szCs w:val="24"/>
        </w:rPr>
        <w:t>巨龙管业</w:t>
      </w:r>
      <w:r w:rsidRPr="00613BB6">
        <w:rPr>
          <w:rFonts w:ascii="楷体" w:eastAsia="楷体" w:hAnsi="楷体" w:cs="宋体" w:hint="eastAsia"/>
          <w:color w:val="000000"/>
          <w:kern w:val="0"/>
          <w:sz w:val="28"/>
          <w:szCs w:val="28"/>
        </w:rPr>
        <w:t>”。</w:t>
      </w:r>
      <w:r w:rsidRPr="00613BB6">
        <w:rPr>
          <w:rFonts w:ascii="楷体" w:eastAsia="楷体" w:hAnsi="楷体" w:cs="宋体" w:hint="eastAsia"/>
          <w:color w:val="000000"/>
          <w:kern w:val="0"/>
          <w:sz w:val="24"/>
          <w:szCs w:val="24"/>
        </w:rPr>
        <w:t>当事人的上述</w:t>
      </w:r>
      <w:r w:rsidRPr="00613BB6">
        <w:rPr>
          <w:rFonts w:ascii="楷体" w:eastAsia="楷体" w:hAnsi="楷体" w:cs="宋体" w:hint="eastAsia"/>
          <w:color w:val="000000"/>
          <w:kern w:val="0"/>
          <w:sz w:val="24"/>
          <w:szCs w:val="24"/>
        </w:rPr>
        <w:lastRenderedPageBreak/>
        <w:t>行为违反《证券法》第七十三条、七十六条第一款的规定，构成《证券法》第二百零二条所述的内幕交易行为。</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根据当事人违法行为的事实、性质、情节与社会危害程度，依据《证券法》第二百零二条的规定，我会决定：对当事人楼蓉处以</w:t>
      </w:r>
      <w:r w:rsidRPr="00613BB6">
        <w:rPr>
          <w:rFonts w:ascii="楷体" w:eastAsia="楷体" w:hAnsi="楷体" w:cs="宋体" w:hint="eastAsia"/>
          <w:color w:val="000000"/>
          <w:kern w:val="0"/>
          <w:sz w:val="28"/>
          <w:szCs w:val="28"/>
        </w:rPr>
        <w:t>50万元的罚款。</w:t>
      </w:r>
    </w:p>
    <w:p w:rsidR="00613BB6" w:rsidRPr="00613BB6" w:rsidRDefault="00613BB6" w:rsidP="00613BB6">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4"/>
          <w:szCs w:val="24"/>
        </w:rPr>
        <w:t>上述当事人应自收到本处罚决定书之日起</w:t>
      </w:r>
      <w:r w:rsidRPr="00613BB6">
        <w:rPr>
          <w:rFonts w:ascii="楷体" w:eastAsia="楷体" w:hAnsi="楷体" w:cs="宋体" w:hint="eastAsia"/>
          <w:color w:val="000000"/>
          <w:kern w:val="0"/>
          <w:sz w:val="28"/>
          <w:szCs w:val="28"/>
        </w:rPr>
        <w:t>15日内，将罚没款汇交中国证券监督管理委员会（财政</w:t>
      </w:r>
      <w:proofErr w:type="gramStart"/>
      <w:r w:rsidRPr="00613BB6">
        <w:rPr>
          <w:rFonts w:ascii="楷体" w:eastAsia="楷体" w:hAnsi="楷体" w:cs="宋体" w:hint="eastAsia"/>
          <w:color w:val="000000"/>
          <w:kern w:val="0"/>
          <w:sz w:val="28"/>
          <w:szCs w:val="28"/>
        </w:rPr>
        <w:t>汇缴专户</w:t>
      </w:r>
      <w:proofErr w:type="gramEnd"/>
      <w:r w:rsidRPr="00613BB6">
        <w:rPr>
          <w:rFonts w:ascii="楷体" w:eastAsia="楷体" w:hAnsi="楷体" w:cs="宋体" w:hint="eastAsia"/>
          <w:color w:val="000000"/>
          <w:kern w:val="0"/>
          <w:sz w:val="28"/>
          <w:szCs w:val="28"/>
        </w:rPr>
        <w:t>）开户</w:t>
      </w:r>
      <w:r w:rsidRPr="00613BB6">
        <w:rPr>
          <w:rFonts w:ascii="楷体" w:eastAsia="楷体" w:hAnsi="楷体" w:cs="宋体" w:hint="eastAsia"/>
          <w:color w:val="000000"/>
          <w:kern w:val="0"/>
          <w:sz w:val="24"/>
          <w:szCs w:val="24"/>
        </w:rPr>
        <w:t>银行：中信银行北京分行营业部，账号：</w:t>
      </w:r>
      <w:r w:rsidRPr="00613BB6">
        <w:rPr>
          <w:rFonts w:ascii="楷体" w:eastAsia="楷体" w:hAnsi="楷体" w:cs="宋体" w:hint="eastAsia"/>
          <w:color w:val="000000"/>
          <w:kern w:val="0"/>
          <w:sz w:val="28"/>
          <w:szCs w:val="28"/>
        </w:rPr>
        <w:t>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Calibri" w:eastAsia="楷体" w:hAnsi="Calibri" w:cs="Calibri"/>
          <w:color w:val="000000"/>
          <w:kern w:val="0"/>
          <w:sz w:val="24"/>
          <w:szCs w:val="24"/>
        </w:rPr>
        <w:t> </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Calibri" w:eastAsia="楷体" w:hAnsi="Calibri" w:cs="Calibri"/>
          <w:color w:val="000000"/>
          <w:kern w:val="0"/>
          <w:sz w:val="24"/>
          <w:szCs w:val="24"/>
        </w:rPr>
        <w:t> </w:t>
      </w:r>
      <w:r w:rsidRPr="00613BB6">
        <w:rPr>
          <w:rFonts w:ascii="楷体" w:eastAsia="楷体" w:hAnsi="楷体" w:cs="宋体" w:hint="eastAsia"/>
          <w:color w:val="000000"/>
          <w:kern w:val="0"/>
          <w:sz w:val="24"/>
          <w:szCs w:val="24"/>
        </w:rPr>
        <w:t>中国证监会</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楷体" w:eastAsia="楷体" w:hAnsi="楷体" w:cs="宋体" w:hint="eastAsia"/>
          <w:color w:val="000000"/>
          <w:kern w:val="0"/>
          <w:sz w:val="28"/>
          <w:szCs w:val="28"/>
        </w:rPr>
        <w:t xml:space="preserve">　　　　　　　　　　　　　　　　　　　　　　　　　　　　　 　</w:t>
      </w:r>
      <w:r w:rsidRPr="00613BB6">
        <w:rPr>
          <w:rFonts w:ascii="Calibri" w:eastAsia="楷体" w:hAnsi="Calibri" w:cs="Calibri"/>
          <w:color w:val="000000"/>
          <w:kern w:val="0"/>
          <w:sz w:val="28"/>
          <w:szCs w:val="28"/>
        </w:rPr>
        <w:t> </w:t>
      </w:r>
      <w:r w:rsidRPr="00613BB6">
        <w:rPr>
          <w:rFonts w:ascii="楷体" w:eastAsia="楷体" w:hAnsi="楷体" w:cs="宋体" w:hint="eastAsia"/>
          <w:color w:val="000000"/>
          <w:kern w:val="0"/>
          <w:sz w:val="28"/>
          <w:szCs w:val="28"/>
        </w:rPr>
        <w:t>2019年10月31日</w:t>
      </w:r>
    </w:p>
    <w:p w:rsidR="00613BB6" w:rsidRPr="00613BB6" w:rsidRDefault="00613BB6" w:rsidP="00613BB6">
      <w:pPr>
        <w:widowControl/>
        <w:shd w:val="clear" w:color="auto" w:fill="FFFFFF"/>
        <w:spacing w:line="408" w:lineRule="atLeast"/>
        <w:jc w:val="left"/>
        <w:rPr>
          <w:rFonts w:ascii="楷体" w:eastAsia="楷体" w:hAnsi="楷体" w:cs="宋体" w:hint="eastAsia"/>
          <w:color w:val="000000"/>
          <w:kern w:val="0"/>
          <w:sz w:val="24"/>
          <w:szCs w:val="24"/>
        </w:rPr>
      </w:pPr>
      <w:r w:rsidRPr="00613BB6">
        <w:rPr>
          <w:rFonts w:ascii="Calibri" w:eastAsia="楷体" w:hAnsi="Calibri" w:cs="Calibri"/>
          <w:color w:val="000000"/>
          <w:kern w:val="0"/>
          <w:sz w:val="24"/>
          <w:szCs w:val="24"/>
        </w:rPr>
        <w:t> </w:t>
      </w:r>
    </w:p>
    <w:p w:rsidR="00613BB6" w:rsidRPr="00613BB6" w:rsidRDefault="00613BB6" w:rsidP="00613BB6">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13BB6" w:rsidRPr="00613BB6" w:rsidTr="00613BB6">
        <w:trPr>
          <w:tblCellSpacing w:w="15" w:type="dxa"/>
          <w:jc w:val="center"/>
        </w:trPr>
        <w:tc>
          <w:tcPr>
            <w:tcW w:w="900" w:type="dxa"/>
            <w:vAlign w:val="center"/>
            <w:hideMark/>
          </w:tcPr>
          <w:p w:rsidR="00613BB6" w:rsidRPr="00613BB6" w:rsidRDefault="00613BB6" w:rsidP="00613BB6">
            <w:pPr>
              <w:widowControl/>
              <w:jc w:val="left"/>
              <w:rPr>
                <w:rFonts w:ascii="宋体" w:eastAsia="宋体" w:hAnsi="宋体" w:cs="宋体" w:hint="eastAsia"/>
                <w:kern w:val="0"/>
                <w:sz w:val="18"/>
                <w:szCs w:val="18"/>
              </w:rPr>
            </w:pPr>
            <w:r w:rsidRPr="00613BB6">
              <w:rPr>
                <w:rFonts w:ascii="宋体" w:eastAsia="宋体" w:hAnsi="宋体" w:cs="宋体"/>
                <w:kern w:val="0"/>
                <w:sz w:val="18"/>
                <w:szCs w:val="18"/>
              </w:rPr>
              <w:t> </w:t>
            </w:r>
          </w:p>
        </w:tc>
        <w:tc>
          <w:tcPr>
            <w:tcW w:w="1200" w:type="dxa"/>
            <w:vAlign w:val="center"/>
            <w:hideMark/>
          </w:tcPr>
          <w:p w:rsidR="00613BB6" w:rsidRPr="00613BB6" w:rsidRDefault="00613BB6" w:rsidP="00613BB6">
            <w:pPr>
              <w:widowControl/>
              <w:jc w:val="left"/>
              <w:rPr>
                <w:rFonts w:ascii="宋体" w:eastAsia="宋体" w:hAnsi="宋体" w:cs="宋体"/>
                <w:kern w:val="0"/>
                <w:sz w:val="18"/>
                <w:szCs w:val="18"/>
              </w:rPr>
            </w:pPr>
            <w:r w:rsidRPr="00613BB6">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3BB6" w:rsidRPr="00613BB6" w:rsidRDefault="00613BB6" w:rsidP="00613BB6">
            <w:pPr>
              <w:widowControl/>
              <w:jc w:val="left"/>
              <w:rPr>
                <w:rFonts w:ascii="宋体" w:eastAsia="宋体" w:hAnsi="宋体" w:cs="宋体"/>
                <w:kern w:val="0"/>
                <w:sz w:val="18"/>
                <w:szCs w:val="18"/>
              </w:rPr>
            </w:pPr>
            <w:r w:rsidRPr="00613BB6">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3BB6" w:rsidRPr="00613BB6" w:rsidRDefault="00613BB6" w:rsidP="00613BB6">
            <w:pPr>
              <w:widowControl/>
              <w:jc w:val="left"/>
              <w:rPr>
                <w:rFonts w:ascii="宋体" w:eastAsia="宋体" w:hAnsi="宋体" w:cs="宋体"/>
                <w:kern w:val="0"/>
                <w:sz w:val="18"/>
                <w:szCs w:val="18"/>
              </w:rPr>
            </w:pPr>
            <w:r w:rsidRPr="00613BB6">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13BB6" w:rsidRPr="00613BB6" w:rsidRDefault="00613BB6" w:rsidP="00613BB6">
      <w:pPr>
        <w:widowControl/>
        <w:jc w:val="center"/>
        <w:rPr>
          <w:rFonts w:ascii="微软雅黑" w:eastAsia="微软雅黑" w:hAnsi="微软雅黑" w:cs="宋体"/>
          <w:color w:val="515151"/>
          <w:kern w:val="0"/>
          <w:sz w:val="18"/>
          <w:szCs w:val="18"/>
        </w:rPr>
      </w:pPr>
      <w:hyperlink r:id="rId11" w:tgtFrame="_blank" w:history="1">
        <w:r w:rsidRPr="00613BB6">
          <w:rPr>
            <w:rFonts w:ascii="微软雅黑" w:eastAsia="微软雅黑" w:hAnsi="微软雅黑" w:cs="宋体" w:hint="eastAsia"/>
            <w:color w:val="0000FF"/>
            <w:kern w:val="0"/>
            <w:sz w:val="18"/>
            <w:szCs w:val="18"/>
            <w:u w:val="single"/>
          </w:rPr>
          <w:t>关于我们</w:t>
        </w:r>
      </w:hyperlink>
      <w:r w:rsidRPr="00613BB6">
        <w:rPr>
          <w:rFonts w:ascii="微软雅黑" w:eastAsia="微软雅黑" w:hAnsi="微软雅黑" w:cs="宋体" w:hint="eastAsia"/>
          <w:color w:val="515151"/>
          <w:kern w:val="0"/>
          <w:sz w:val="18"/>
          <w:szCs w:val="18"/>
        </w:rPr>
        <w:t> - </w:t>
      </w:r>
      <w:hyperlink r:id="rId12" w:tgtFrame="_blank" w:history="1">
        <w:r w:rsidRPr="00613BB6">
          <w:rPr>
            <w:rFonts w:ascii="微软雅黑" w:eastAsia="微软雅黑" w:hAnsi="微软雅黑" w:cs="宋体" w:hint="eastAsia"/>
            <w:color w:val="0000FF"/>
            <w:kern w:val="0"/>
            <w:sz w:val="18"/>
            <w:szCs w:val="18"/>
            <w:u w:val="single"/>
          </w:rPr>
          <w:t>法律声明</w:t>
        </w:r>
      </w:hyperlink>
      <w:r w:rsidRPr="00613BB6">
        <w:rPr>
          <w:rFonts w:ascii="微软雅黑" w:eastAsia="微软雅黑" w:hAnsi="微软雅黑" w:cs="宋体" w:hint="eastAsia"/>
          <w:color w:val="515151"/>
          <w:kern w:val="0"/>
          <w:sz w:val="18"/>
          <w:szCs w:val="18"/>
        </w:rPr>
        <w:t> - </w:t>
      </w:r>
      <w:hyperlink r:id="rId13" w:tgtFrame="_blank" w:history="1">
        <w:r w:rsidRPr="00613BB6">
          <w:rPr>
            <w:rFonts w:ascii="微软雅黑" w:eastAsia="微软雅黑" w:hAnsi="微软雅黑" w:cs="宋体" w:hint="eastAsia"/>
            <w:color w:val="0000FF"/>
            <w:kern w:val="0"/>
            <w:sz w:val="18"/>
            <w:szCs w:val="18"/>
            <w:u w:val="single"/>
          </w:rPr>
          <w:t>联系我们</w:t>
        </w:r>
      </w:hyperlink>
    </w:p>
    <w:p w:rsidR="00613BB6" w:rsidRPr="00613BB6" w:rsidRDefault="00613BB6" w:rsidP="00613BB6">
      <w:pPr>
        <w:widowControl/>
        <w:jc w:val="center"/>
        <w:rPr>
          <w:rFonts w:ascii="微软雅黑" w:eastAsia="微软雅黑" w:hAnsi="微软雅黑" w:cs="宋体" w:hint="eastAsia"/>
          <w:color w:val="515151"/>
          <w:kern w:val="0"/>
          <w:sz w:val="18"/>
          <w:szCs w:val="18"/>
        </w:rPr>
      </w:pPr>
      <w:r w:rsidRPr="00613BB6">
        <w:rPr>
          <w:rFonts w:ascii="微软雅黑" w:eastAsia="微软雅黑" w:hAnsi="微软雅黑" w:cs="宋体" w:hint="eastAsia"/>
          <w:color w:val="515151"/>
          <w:kern w:val="0"/>
          <w:sz w:val="18"/>
          <w:szCs w:val="18"/>
        </w:rPr>
        <w:t>版权所有：中国证券监督管理委员会 京ICP备 05035542号</w:t>
      </w:r>
    </w:p>
    <w:p w:rsidR="00613BB6" w:rsidRPr="00613BB6" w:rsidRDefault="00613BB6" w:rsidP="00613BB6">
      <w:pPr>
        <w:widowControl/>
        <w:jc w:val="center"/>
        <w:rPr>
          <w:rFonts w:ascii="微软雅黑" w:eastAsia="微软雅黑" w:hAnsi="微软雅黑" w:cs="宋体" w:hint="eastAsia"/>
          <w:color w:val="515151"/>
          <w:kern w:val="0"/>
          <w:sz w:val="18"/>
          <w:szCs w:val="18"/>
        </w:rPr>
      </w:pPr>
      <w:r w:rsidRPr="00613BB6">
        <w:rPr>
          <w:rFonts w:ascii="微软雅黑" w:eastAsia="微软雅黑" w:hAnsi="微软雅黑" w:cs="宋体" w:hint="eastAsia"/>
          <w:color w:val="515151"/>
          <w:kern w:val="0"/>
          <w:sz w:val="18"/>
          <w:szCs w:val="18"/>
        </w:rPr>
        <w:t>地址：北京市西城区金融大街19号富凯大厦A座 邮编：100033</w:t>
      </w:r>
    </w:p>
    <w:p w:rsidR="00613BB6" w:rsidRPr="00613BB6" w:rsidRDefault="00613BB6" w:rsidP="00613BB6">
      <w:pPr>
        <w:widowControl/>
        <w:jc w:val="center"/>
        <w:rPr>
          <w:rFonts w:ascii="微软雅黑" w:eastAsia="微软雅黑" w:hAnsi="微软雅黑" w:cs="宋体" w:hint="eastAsia"/>
          <w:color w:val="515151"/>
          <w:kern w:val="0"/>
          <w:sz w:val="18"/>
          <w:szCs w:val="18"/>
        </w:rPr>
      </w:pPr>
      <w:r w:rsidRPr="00613BB6">
        <w:rPr>
          <w:rFonts w:ascii="微软雅黑" w:eastAsia="微软雅黑" w:hAnsi="微软雅黑" w:cs="宋体" w:hint="eastAsia"/>
          <w:color w:val="515151"/>
          <w:kern w:val="0"/>
          <w:sz w:val="18"/>
          <w:szCs w:val="18"/>
        </w:rPr>
        <w:t>建议使用IE5.5以上浏览器，分辨率1024*768</w:t>
      </w:r>
    </w:p>
    <w:p w:rsidR="00F71849" w:rsidRPr="00613BB6" w:rsidRDefault="00F71849"/>
    <w:sectPr w:rsidR="00F71849" w:rsidRPr="00613B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B6"/>
    <w:rsid w:val="00613BB6"/>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A61B8-FCEE-4AB5-A23D-B4C04CA0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3B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3BB6"/>
    <w:rPr>
      <w:b/>
      <w:bCs/>
    </w:rPr>
  </w:style>
  <w:style w:type="character" w:styleId="a5">
    <w:name w:val="Hyperlink"/>
    <w:basedOn w:val="a0"/>
    <w:uiPriority w:val="99"/>
    <w:semiHidden/>
    <w:unhideWhenUsed/>
    <w:rsid w:val="00613B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3775">
      <w:bodyDiv w:val="1"/>
      <w:marLeft w:val="0"/>
      <w:marRight w:val="0"/>
      <w:marTop w:val="0"/>
      <w:marBottom w:val="0"/>
      <w:divBdr>
        <w:top w:val="none" w:sz="0" w:space="0" w:color="auto"/>
        <w:left w:val="none" w:sz="0" w:space="0" w:color="auto"/>
        <w:bottom w:val="none" w:sz="0" w:space="0" w:color="auto"/>
        <w:right w:val="none" w:sz="0" w:space="0" w:color="auto"/>
      </w:divBdr>
      <w:divsChild>
        <w:div w:id="1934245929">
          <w:marLeft w:val="0"/>
          <w:marRight w:val="0"/>
          <w:marTop w:val="150"/>
          <w:marBottom w:val="150"/>
          <w:divBdr>
            <w:top w:val="none" w:sz="0" w:space="0" w:color="auto"/>
            <w:left w:val="none" w:sz="0" w:space="0" w:color="auto"/>
            <w:bottom w:val="none" w:sz="0" w:space="0" w:color="auto"/>
            <w:right w:val="none" w:sz="0" w:space="0" w:color="auto"/>
          </w:divBdr>
        </w:div>
        <w:div w:id="1837375646">
          <w:marLeft w:val="0"/>
          <w:marRight w:val="0"/>
          <w:marTop w:val="0"/>
          <w:marBottom w:val="0"/>
          <w:divBdr>
            <w:top w:val="single" w:sz="6" w:space="8" w:color="B5B5B5"/>
            <w:left w:val="single" w:sz="6" w:space="0" w:color="B5B5B5"/>
            <w:bottom w:val="single" w:sz="6" w:space="8" w:color="B5B5B5"/>
            <w:right w:val="single" w:sz="6" w:space="0" w:color="B5B5B5"/>
          </w:divBdr>
          <w:divsChild>
            <w:div w:id="2054697700">
              <w:marLeft w:val="0"/>
              <w:marRight w:val="0"/>
              <w:marTop w:val="0"/>
              <w:marBottom w:val="0"/>
              <w:divBdr>
                <w:top w:val="none" w:sz="0" w:space="0" w:color="auto"/>
                <w:left w:val="none" w:sz="0" w:space="0" w:color="auto"/>
                <w:bottom w:val="none" w:sz="0" w:space="0" w:color="auto"/>
                <w:right w:val="none" w:sz="0" w:space="0" w:color="auto"/>
              </w:divBdr>
            </w:div>
            <w:div w:id="1952854036">
              <w:marLeft w:val="0"/>
              <w:marRight w:val="0"/>
              <w:marTop w:val="0"/>
              <w:marBottom w:val="0"/>
              <w:divBdr>
                <w:top w:val="none" w:sz="0" w:space="0" w:color="auto"/>
                <w:left w:val="none" w:sz="0" w:space="0" w:color="auto"/>
                <w:bottom w:val="none" w:sz="0" w:space="0" w:color="auto"/>
                <w:right w:val="none" w:sz="0" w:space="0" w:color="auto"/>
              </w:divBdr>
            </w:div>
            <w:div w:id="462696958">
              <w:marLeft w:val="0"/>
              <w:marRight w:val="0"/>
              <w:marTop w:val="120"/>
              <w:marBottom w:val="120"/>
              <w:divBdr>
                <w:top w:val="none" w:sz="0" w:space="0" w:color="auto"/>
                <w:left w:val="none" w:sz="0" w:space="0" w:color="auto"/>
                <w:bottom w:val="none" w:sz="0" w:space="0" w:color="auto"/>
                <w:right w:val="none" w:sz="0" w:space="0" w:color="auto"/>
              </w:divBdr>
            </w:div>
          </w:divsChild>
        </w:div>
        <w:div w:id="293949846">
          <w:marLeft w:val="0"/>
          <w:marRight w:val="0"/>
          <w:marTop w:val="120"/>
          <w:marBottom w:val="0"/>
          <w:divBdr>
            <w:top w:val="none" w:sz="0" w:space="0" w:color="auto"/>
            <w:left w:val="none" w:sz="0" w:space="0" w:color="auto"/>
            <w:bottom w:val="none" w:sz="0" w:space="0" w:color="auto"/>
            <w:right w:val="none" w:sz="0" w:space="0" w:color="auto"/>
          </w:divBdr>
          <w:divsChild>
            <w:div w:id="1861503641">
              <w:marLeft w:val="0"/>
              <w:marRight w:val="0"/>
              <w:marTop w:val="60"/>
              <w:marBottom w:val="0"/>
              <w:divBdr>
                <w:top w:val="none" w:sz="0" w:space="0" w:color="auto"/>
                <w:left w:val="none" w:sz="0" w:space="0" w:color="auto"/>
                <w:bottom w:val="none" w:sz="0" w:space="0" w:color="auto"/>
                <w:right w:val="none" w:sz="0" w:space="0" w:color="auto"/>
              </w:divBdr>
            </w:div>
            <w:div w:id="1782651209">
              <w:marLeft w:val="0"/>
              <w:marRight w:val="0"/>
              <w:marTop w:val="60"/>
              <w:marBottom w:val="0"/>
              <w:divBdr>
                <w:top w:val="none" w:sz="0" w:space="0" w:color="auto"/>
                <w:left w:val="none" w:sz="0" w:space="0" w:color="auto"/>
                <w:bottom w:val="none" w:sz="0" w:space="0" w:color="auto"/>
                <w:right w:val="none" w:sz="0" w:space="0" w:color="auto"/>
              </w:divBdr>
            </w:div>
            <w:div w:id="364332810">
              <w:marLeft w:val="0"/>
              <w:marRight w:val="0"/>
              <w:marTop w:val="60"/>
              <w:marBottom w:val="0"/>
              <w:divBdr>
                <w:top w:val="none" w:sz="0" w:space="0" w:color="auto"/>
                <w:left w:val="none" w:sz="0" w:space="0" w:color="auto"/>
                <w:bottom w:val="none" w:sz="0" w:space="0" w:color="auto"/>
                <w:right w:val="none" w:sz="0" w:space="0" w:color="auto"/>
              </w:divBdr>
            </w:div>
            <w:div w:id="17260274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18_36611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2020-02-13T07:59:00Z</dcterms:created>
  <dcterms:modified xsi:type="dcterms:W3CDTF">2020-02-13T08:00:00Z</dcterms:modified>
</cp:coreProperties>
</file>