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9E" w:rsidRPr="00A05B9E" w:rsidRDefault="00A05B9E" w:rsidP="00A05B9E">
      <w:pPr>
        <w:widowControl/>
        <w:jc w:val="center"/>
        <w:rPr>
          <w:rFonts w:ascii="微软雅黑" w:eastAsia="微软雅黑" w:hAnsi="微软雅黑" w:cs="宋体"/>
          <w:color w:val="000000"/>
          <w:kern w:val="0"/>
          <w:sz w:val="18"/>
          <w:szCs w:val="18"/>
        </w:rPr>
      </w:pPr>
      <w:r w:rsidRPr="00A05B9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A05B9E" w:rsidRPr="00A05B9E" w:rsidTr="00A05B9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05B9E" w:rsidRPr="00A05B9E">
              <w:trPr>
                <w:tblCellSpacing w:w="0" w:type="dxa"/>
              </w:trPr>
              <w:tc>
                <w:tcPr>
                  <w:tcW w:w="2500" w:type="pct"/>
                  <w:tcMar>
                    <w:top w:w="30" w:type="dxa"/>
                    <w:left w:w="30" w:type="dxa"/>
                    <w:bottom w:w="30" w:type="dxa"/>
                    <w:right w:w="30" w:type="dxa"/>
                  </w:tcMar>
                  <w:hideMark/>
                </w:tcPr>
                <w:p w:rsidR="00A05B9E" w:rsidRPr="00A05B9E" w:rsidRDefault="00A05B9E" w:rsidP="00A05B9E">
                  <w:pPr>
                    <w:widowControl/>
                    <w:jc w:val="left"/>
                    <w:rPr>
                      <w:rFonts w:ascii="宋体" w:eastAsia="宋体" w:hAnsi="宋体" w:cs="宋体" w:hint="eastAsia"/>
                      <w:color w:val="686868"/>
                      <w:kern w:val="0"/>
                      <w:sz w:val="18"/>
                      <w:szCs w:val="18"/>
                    </w:rPr>
                  </w:pPr>
                  <w:bookmarkStart w:id="0" w:name="_GoBack"/>
                  <w:r w:rsidRPr="00A05B9E">
                    <w:rPr>
                      <w:rFonts w:ascii="宋体" w:eastAsia="宋体" w:hAnsi="宋体" w:cs="宋体"/>
                      <w:b/>
                      <w:bCs/>
                      <w:color w:val="686868"/>
                      <w:kern w:val="0"/>
                      <w:sz w:val="18"/>
                      <w:szCs w:val="18"/>
                    </w:rPr>
                    <w:t>索 引 号:</w:t>
                  </w:r>
                  <w:r w:rsidRPr="00A05B9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05B9E" w:rsidRPr="00A05B9E" w:rsidRDefault="00A05B9E" w:rsidP="00A05B9E">
                  <w:pPr>
                    <w:widowControl/>
                    <w:jc w:val="left"/>
                    <w:rPr>
                      <w:rFonts w:ascii="宋体" w:eastAsia="宋体" w:hAnsi="宋体" w:cs="宋体"/>
                      <w:color w:val="686868"/>
                      <w:kern w:val="0"/>
                      <w:sz w:val="18"/>
                      <w:szCs w:val="18"/>
                    </w:rPr>
                  </w:pPr>
                  <w:r w:rsidRPr="00A05B9E">
                    <w:rPr>
                      <w:rFonts w:ascii="宋体" w:eastAsia="宋体" w:hAnsi="宋体" w:cs="宋体"/>
                      <w:b/>
                      <w:bCs/>
                      <w:color w:val="686868"/>
                      <w:kern w:val="0"/>
                      <w:sz w:val="18"/>
                      <w:szCs w:val="18"/>
                    </w:rPr>
                    <w:t>分类:</w:t>
                  </w:r>
                  <w:r w:rsidRPr="00A05B9E">
                    <w:rPr>
                      <w:rFonts w:ascii="宋体" w:eastAsia="宋体" w:hAnsi="宋体" w:cs="宋体"/>
                      <w:color w:val="686868"/>
                      <w:kern w:val="0"/>
                      <w:sz w:val="18"/>
                      <w:szCs w:val="18"/>
                    </w:rPr>
                    <w:t> 行政处罚 ; 行政处罚决定</w:t>
                  </w:r>
                </w:p>
              </w:tc>
            </w:tr>
          </w:tbl>
          <w:p w:rsidR="00A05B9E" w:rsidRPr="00A05B9E" w:rsidRDefault="00A05B9E" w:rsidP="00A05B9E">
            <w:pPr>
              <w:widowControl/>
              <w:jc w:val="left"/>
              <w:rPr>
                <w:rFonts w:ascii="宋体" w:eastAsia="宋体" w:hAnsi="宋体" w:cs="宋体"/>
                <w:color w:val="686868"/>
                <w:kern w:val="0"/>
                <w:sz w:val="18"/>
                <w:szCs w:val="18"/>
              </w:rPr>
            </w:pPr>
          </w:p>
        </w:tc>
      </w:tr>
      <w:tr w:rsidR="00A05B9E" w:rsidRPr="00A05B9E" w:rsidTr="00A05B9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05B9E" w:rsidRPr="00A05B9E">
              <w:trPr>
                <w:tblCellSpacing w:w="0" w:type="dxa"/>
              </w:trPr>
              <w:tc>
                <w:tcPr>
                  <w:tcW w:w="2500" w:type="pct"/>
                  <w:tcMar>
                    <w:top w:w="30" w:type="dxa"/>
                    <w:left w:w="30" w:type="dxa"/>
                    <w:bottom w:w="30" w:type="dxa"/>
                    <w:right w:w="30" w:type="dxa"/>
                  </w:tcMar>
                  <w:hideMark/>
                </w:tcPr>
                <w:p w:rsidR="00A05B9E" w:rsidRPr="00A05B9E" w:rsidRDefault="00A05B9E" w:rsidP="00A05B9E">
                  <w:pPr>
                    <w:widowControl/>
                    <w:jc w:val="left"/>
                    <w:rPr>
                      <w:rFonts w:ascii="宋体" w:eastAsia="宋体" w:hAnsi="宋体" w:cs="宋体"/>
                      <w:color w:val="686868"/>
                      <w:kern w:val="0"/>
                      <w:sz w:val="18"/>
                      <w:szCs w:val="18"/>
                    </w:rPr>
                  </w:pPr>
                  <w:r w:rsidRPr="00A05B9E">
                    <w:rPr>
                      <w:rFonts w:ascii="宋体" w:eastAsia="宋体" w:hAnsi="宋体" w:cs="宋体"/>
                      <w:b/>
                      <w:bCs/>
                      <w:color w:val="686868"/>
                      <w:kern w:val="0"/>
                      <w:sz w:val="18"/>
                      <w:szCs w:val="18"/>
                    </w:rPr>
                    <w:t>发布机构:</w:t>
                  </w:r>
                  <w:r w:rsidRPr="00A05B9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05B9E" w:rsidRPr="00A05B9E" w:rsidRDefault="00A05B9E" w:rsidP="00A05B9E">
                  <w:pPr>
                    <w:widowControl/>
                    <w:jc w:val="left"/>
                    <w:rPr>
                      <w:rFonts w:ascii="宋体" w:eastAsia="宋体" w:hAnsi="宋体" w:cs="宋体"/>
                      <w:color w:val="686868"/>
                      <w:kern w:val="0"/>
                      <w:sz w:val="18"/>
                      <w:szCs w:val="18"/>
                    </w:rPr>
                  </w:pPr>
                  <w:r w:rsidRPr="00A05B9E">
                    <w:rPr>
                      <w:rFonts w:ascii="宋体" w:eastAsia="宋体" w:hAnsi="宋体" w:cs="宋体"/>
                      <w:b/>
                      <w:bCs/>
                      <w:color w:val="686868"/>
                      <w:kern w:val="0"/>
                      <w:sz w:val="18"/>
                      <w:szCs w:val="18"/>
                    </w:rPr>
                    <w:t>发文日期:</w:t>
                  </w:r>
                  <w:r w:rsidRPr="00A05B9E">
                    <w:rPr>
                      <w:rFonts w:ascii="宋体" w:eastAsia="宋体" w:hAnsi="宋体" w:cs="宋体"/>
                      <w:color w:val="686868"/>
                      <w:kern w:val="0"/>
                      <w:sz w:val="18"/>
                      <w:szCs w:val="18"/>
                    </w:rPr>
                    <w:t> 2019年02月28日</w:t>
                  </w:r>
                </w:p>
              </w:tc>
            </w:tr>
          </w:tbl>
          <w:p w:rsidR="00A05B9E" w:rsidRPr="00A05B9E" w:rsidRDefault="00A05B9E" w:rsidP="00A05B9E">
            <w:pPr>
              <w:widowControl/>
              <w:jc w:val="left"/>
              <w:rPr>
                <w:rFonts w:ascii="宋体" w:eastAsia="宋体" w:hAnsi="宋体" w:cs="宋体"/>
                <w:color w:val="686868"/>
                <w:kern w:val="0"/>
                <w:sz w:val="18"/>
                <w:szCs w:val="18"/>
              </w:rPr>
            </w:pPr>
          </w:p>
        </w:tc>
      </w:tr>
      <w:tr w:rsidR="00A05B9E" w:rsidRPr="00A05B9E" w:rsidTr="00A05B9E">
        <w:trPr>
          <w:tblCellSpacing w:w="0" w:type="dxa"/>
        </w:trPr>
        <w:tc>
          <w:tcPr>
            <w:tcW w:w="0" w:type="auto"/>
            <w:tcMar>
              <w:top w:w="30" w:type="dxa"/>
              <w:left w:w="30" w:type="dxa"/>
              <w:bottom w:w="30" w:type="dxa"/>
              <w:right w:w="30" w:type="dxa"/>
            </w:tcMar>
            <w:hideMark/>
          </w:tcPr>
          <w:p w:rsidR="00A05B9E" w:rsidRPr="00A05B9E" w:rsidRDefault="00A05B9E" w:rsidP="00A05B9E">
            <w:pPr>
              <w:widowControl/>
              <w:jc w:val="left"/>
              <w:rPr>
                <w:rFonts w:ascii="宋体" w:eastAsia="宋体" w:hAnsi="宋体" w:cs="宋体"/>
                <w:color w:val="686868"/>
                <w:kern w:val="0"/>
                <w:sz w:val="18"/>
                <w:szCs w:val="18"/>
              </w:rPr>
            </w:pPr>
            <w:r w:rsidRPr="00A05B9E">
              <w:rPr>
                <w:rFonts w:ascii="宋体" w:eastAsia="宋体" w:hAnsi="宋体" w:cs="宋体"/>
                <w:b/>
                <w:bCs/>
                <w:color w:val="686868"/>
                <w:kern w:val="0"/>
                <w:sz w:val="18"/>
                <w:szCs w:val="18"/>
              </w:rPr>
              <w:t>名　　称:</w:t>
            </w:r>
            <w:r w:rsidRPr="00A05B9E">
              <w:rPr>
                <w:rFonts w:ascii="宋体" w:eastAsia="宋体" w:hAnsi="宋体" w:cs="宋体"/>
                <w:color w:val="686868"/>
                <w:kern w:val="0"/>
                <w:sz w:val="18"/>
                <w:szCs w:val="18"/>
              </w:rPr>
              <w:t> 中国证监会行政处罚决定书（余盛）</w:t>
            </w:r>
          </w:p>
        </w:tc>
      </w:tr>
      <w:tr w:rsidR="00A05B9E" w:rsidRPr="00A05B9E" w:rsidTr="00A05B9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05B9E" w:rsidRPr="00A05B9E">
              <w:trPr>
                <w:tblCellSpacing w:w="0" w:type="dxa"/>
              </w:trPr>
              <w:tc>
                <w:tcPr>
                  <w:tcW w:w="2500" w:type="pct"/>
                  <w:tcMar>
                    <w:top w:w="30" w:type="dxa"/>
                    <w:left w:w="30" w:type="dxa"/>
                    <w:bottom w:w="30" w:type="dxa"/>
                    <w:right w:w="30" w:type="dxa"/>
                  </w:tcMar>
                  <w:hideMark/>
                </w:tcPr>
                <w:p w:rsidR="00A05B9E" w:rsidRPr="00A05B9E" w:rsidRDefault="00A05B9E" w:rsidP="00A05B9E">
                  <w:pPr>
                    <w:widowControl/>
                    <w:jc w:val="left"/>
                    <w:rPr>
                      <w:rFonts w:ascii="宋体" w:eastAsia="宋体" w:hAnsi="宋体" w:cs="宋体"/>
                      <w:color w:val="686868"/>
                      <w:kern w:val="0"/>
                      <w:sz w:val="18"/>
                      <w:szCs w:val="18"/>
                    </w:rPr>
                  </w:pPr>
                  <w:r w:rsidRPr="00A05B9E">
                    <w:rPr>
                      <w:rFonts w:ascii="宋体" w:eastAsia="宋体" w:hAnsi="宋体" w:cs="宋体"/>
                      <w:b/>
                      <w:bCs/>
                      <w:color w:val="686868"/>
                      <w:kern w:val="0"/>
                      <w:sz w:val="18"/>
                      <w:szCs w:val="18"/>
                    </w:rPr>
                    <w:t>文　　号:</w:t>
                  </w:r>
                  <w:r w:rsidRPr="00A05B9E">
                    <w:rPr>
                      <w:rFonts w:ascii="宋体" w:eastAsia="宋体" w:hAnsi="宋体" w:cs="宋体"/>
                      <w:color w:val="686868"/>
                      <w:kern w:val="0"/>
                      <w:sz w:val="18"/>
                      <w:szCs w:val="18"/>
                    </w:rPr>
                    <w:t> 〔2019〕13号</w:t>
                  </w:r>
                </w:p>
              </w:tc>
              <w:tc>
                <w:tcPr>
                  <w:tcW w:w="0" w:type="auto"/>
                  <w:tcMar>
                    <w:top w:w="30" w:type="dxa"/>
                    <w:left w:w="30" w:type="dxa"/>
                    <w:bottom w:w="30" w:type="dxa"/>
                    <w:right w:w="30" w:type="dxa"/>
                  </w:tcMar>
                  <w:hideMark/>
                </w:tcPr>
                <w:p w:rsidR="00A05B9E" w:rsidRPr="00A05B9E" w:rsidRDefault="00A05B9E" w:rsidP="00A05B9E">
                  <w:pPr>
                    <w:widowControl/>
                    <w:jc w:val="left"/>
                    <w:rPr>
                      <w:rFonts w:ascii="宋体" w:eastAsia="宋体" w:hAnsi="宋体" w:cs="宋体"/>
                      <w:color w:val="686868"/>
                      <w:kern w:val="0"/>
                      <w:sz w:val="18"/>
                      <w:szCs w:val="18"/>
                    </w:rPr>
                  </w:pPr>
                  <w:r w:rsidRPr="00A05B9E">
                    <w:rPr>
                      <w:rFonts w:ascii="宋体" w:eastAsia="宋体" w:hAnsi="宋体" w:cs="宋体"/>
                      <w:b/>
                      <w:bCs/>
                      <w:color w:val="686868"/>
                      <w:kern w:val="0"/>
                      <w:sz w:val="18"/>
                      <w:szCs w:val="18"/>
                    </w:rPr>
                    <w:t>主 题 词:</w:t>
                  </w:r>
                </w:p>
              </w:tc>
            </w:tr>
          </w:tbl>
          <w:p w:rsidR="00A05B9E" w:rsidRPr="00A05B9E" w:rsidRDefault="00A05B9E" w:rsidP="00A05B9E">
            <w:pPr>
              <w:widowControl/>
              <w:jc w:val="left"/>
              <w:rPr>
                <w:rFonts w:ascii="宋体" w:eastAsia="宋体" w:hAnsi="宋体" w:cs="宋体"/>
                <w:color w:val="686868"/>
                <w:kern w:val="0"/>
                <w:sz w:val="18"/>
                <w:szCs w:val="18"/>
              </w:rPr>
            </w:pPr>
          </w:p>
        </w:tc>
      </w:tr>
    </w:tbl>
    <w:bookmarkEnd w:id="0"/>
    <w:p w:rsidR="00A05B9E" w:rsidRPr="00A05B9E" w:rsidRDefault="00A05B9E" w:rsidP="00A05B9E">
      <w:pPr>
        <w:widowControl/>
        <w:jc w:val="center"/>
        <w:rPr>
          <w:rFonts w:ascii="微软雅黑" w:eastAsia="微软雅黑" w:hAnsi="微软雅黑" w:cs="宋体"/>
          <w:color w:val="000000"/>
          <w:kern w:val="0"/>
          <w:sz w:val="18"/>
          <w:szCs w:val="18"/>
        </w:rPr>
      </w:pPr>
      <w:r w:rsidRPr="00A05B9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05B9E" w:rsidRPr="00A05B9E" w:rsidRDefault="00A05B9E" w:rsidP="00A05B9E">
      <w:pPr>
        <w:widowControl/>
        <w:shd w:val="clear" w:color="auto" w:fill="FFFFFF"/>
        <w:spacing w:after="240"/>
        <w:jc w:val="center"/>
        <w:rPr>
          <w:rFonts w:ascii="微软雅黑" w:eastAsia="微软雅黑" w:hAnsi="微软雅黑" w:cs="宋体" w:hint="eastAsia"/>
          <w:color w:val="000000"/>
          <w:kern w:val="0"/>
          <w:sz w:val="18"/>
          <w:szCs w:val="18"/>
        </w:rPr>
      </w:pPr>
      <w:r w:rsidRPr="00A05B9E">
        <w:rPr>
          <w:rFonts w:ascii="微软雅黑" w:eastAsia="微软雅黑" w:hAnsi="微软雅黑" w:cs="宋体" w:hint="eastAsia"/>
          <w:color w:val="000000"/>
          <w:kern w:val="0"/>
          <w:sz w:val="18"/>
          <w:szCs w:val="18"/>
        </w:rPr>
        <w:br/>
      </w:r>
      <w:r w:rsidRPr="00A05B9E">
        <w:rPr>
          <w:rFonts w:ascii="黑体" w:eastAsia="黑体" w:hAnsi="黑体" w:cs="宋体" w:hint="eastAsia"/>
          <w:b/>
          <w:bCs/>
          <w:color w:val="FF0000"/>
          <w:kern w:val="0"/>
          <w:sz w:val="36"/>
          <w:szCs w:val="36"/>
        </w:rPr>
        <w:t>中国证监会行政处罚决定书（余盛）</w:t>
      </w:r>
    </w:p>
    <w:p w:rsidR="00A05B9E" w:rsidRPr="00A05B9E" w:rsidRDefault="00A05B9E" w:rsidP="00A05B9E">
      <w:pPr>
        <w:widowControl/>
        <w:shd w:val="clear" w:color="auto" w:fill="FFFFFF"/>
        <w:spacing w:line="360" w:lineRule="atLeast"/>
        <w:jc w:val="center"/>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〔2019〕13号</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Calibri" w:eastAsia="楷体" w:hAnsi="Calibri" w:cs="Calibri"/>
          <w:color w:val="000000"/>
          <w:kern w:val="0"/>
          <w:sz w:val="24"/>
          <w:szCs w:val="24"/>
        </w:rPr>
        <w:t> </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当事人：余盛，男，1971年9月出生，住址：四川省成都市青羊大道。</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依据《中华人民共和国证券法》（以下简称《证券法》）的有关规定，我会对余盛内幕交易行为进行了立案调查、审理，依法向当事人告知了</w:t>
      </w:r>
      <w:proofErr w:type="gramStart"/>
      <w:r w:rsidRPr="00A05B9E">
        <w:rPr>
          <w:rFonts w:ascii="宋体" w:eastAsia="宋体" w:hAnsi="宋体" w:cs="宋体" w:hint="eastAsia"/>
          <w:color w:val="000000"/>
          <w:kern w:val="0"/>
          <w:szCs w:val="21"/>
        </w:rPr>
        <w:t>作出</w:t>
      </w:r>
      <w:proofErr w:type="gramEnd"/>
      <w:r w:rsidRPr="00A05B9E">
        <w:rPr>
          <w:rFonts w:ascii="宋体" w:eastAsia="宋体" w:hAnsi="宋体" w:cs="宋体" w:hint="eastAsia"/>
          <w:color w:val="000000"/>
          <w:kern w:val="0"/>
          <w:szCs w:val="21"/>
        </w:rPr>
        <w:t>行政处罚的事实、理由、依据及当事人依法享有的权利。当事人提出陈述申辩意见，并要求听证，我会依法举行听证，听取了当事人及其代理人陈述申辩意见。本案现已调查、审理终结。</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经查明，余盛存在以下违法事实：</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一、内幕信息的形成和公开过程</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山东太阳纸业股份有限公司（以下简称太阳纸业）实际控制人、董事长为李某信。朱某是李某信的女婿，名片标注其职务为太阳纸业董事长助理。</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2013年10月8日，海通证券股份有限公司（以下简称海通证券）新三板及结构化融资部业务总监单某军、投资银行部执行董事胡某生到太阳纸业拜访李某信等人，了解太阳纸业的融资事项。当天，海通证券人员向太阳纸业推荐采用债券融资的方式，李某信当场没有对是否接受债券融资方案表态。</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此后几天，朱某让单某军转告胡某生，太阳纸业不采纳债券融资方案，让海通证券调整融资方案。</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2013年10月18日，海通证券做出了《太阳纸业再融资方案比较说明书》，决定向太阳纸业</w:t>
      </w:r>
      <w:proofErr w:type="gramStart"/>
      <w:r w:rsidRPr="00A05B9E">
        <w:rPr>
          <w:rFonts w:ascii="宋体" w:eastAsia="宋体" w:hAnsi="宋体" w:cs="宋体" w:hint="eastAsia"/>
          <w:color w:val="000000"/>
          <w:kern w:val="0"/>
          <w:szCs w:val="21"/>
        </w:rPr>
        <w:t>推荐非</w:t>
      </w:r>
      <w:proofErr w:type="gramEnd"/>
      <w:r w:rsidRPr="00A05B9E">
        <w:rPr>
          <w:rFonts w:ascii="宋体" w:eastAsia="宋体" w:hAnsi="宋体" w:cs="宋体" w:hint="eastAsia"/>
          <w:color w:val="000000"/>
          <w:kern w:val="0"/>
          <w:szCs w:val="21"/>
        </w:rPr>
        <w:t>公开发行方案。单某军随后告诉朱某，海通证券建议采用非公开发行的方式进行融资。</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2013年10月中下旬，朱某将海通证券保荐团队推荐采用非公开发行进行融资的计划告诉了李某信。李某信同意采用非公开发行的方式融资。</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2013年11月15日，海通证券完成了太阳纸业非公开发行具体方案，杨某通过邮箱发给了单某军等。</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2013年11月30日，海通证券的周某、胡某生、杨某和单某军等人到山东。12月1日，周某等人拜访了李某信，并介绍了非公开发行融资方案的相关事宜。</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lastRenderedPageBreak/>
        <w:t>2013年12月4日，太阳纸业发布《重大事项临时停牌公告》，称公司正</w:t>
      </w:r>
      <w:proofErr w:type="gramStart"/>
      <w:r w:rsidRPr="00A05B9E">
        <w:rPr>
          <w:rFonts w:ascii="宋体" w:eastAsia="宋体" w:hAnsi="宋体" w:cs="宋体" w:hint="eastAsia"/>
          <w:color w:val="000000"/>
          <w:kern w:val="0"/>
          <w:szCs w:val="21"/>
        </w:rPr>
        <w:t>筹划非</w:t>
      </w:r>
      <w:proofErr w:type="gramEnd"/>
      <w:r w:rsidRPr="00A05B9E">
        <w:rPr>
          <w:rFonts w:ascii="宋体" w:eastAsia="宋体" w:hAnsi="宋体" w:cs="宋体" w:hint="eastAsia"/>
          <w:color w:val="000000"/>
          <w:kern w:val="0"/>
          <w:szCs w:val="21"/>
        </w:rPr>
        <w:t>公开发行股票事宜，相关事项尚在筹划审议过程中，公司股票当日停牌。</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2013年12月11日，太阳纸业复牌并发布非公开发行A股股票预案，称拟募集不超过10亿元向子公司</w:t>
      </w:r>
      <w:proofErr w:type="gramStart"/>
      <w:r w:rsidRPr="00A05B9E">
        <w:rPr>
          <w:rFonts w:ascii="宋体" w:eastAsia="宋体" w:hAnsi="宋体" w:cs="宋体" w:hint="eastAsia"/>
          <w:color w:val="000000"/>
          <w:kern w:val="0"/>
          <w:szCs w:val="21"/>
        </w:rPr>
        <w:t>太阳宏河纸业</w:t>
      </w:r>
      <w:proofErr w:type="gramEnd"/>
      <w:r w:rsidRPr="00A05B9E">
        <w:rPr>
          <w:rFonts w:ascii="宋体" w:eastAsia="宋体" w:hAnsi="宋体" w:cs="宋体" w:hint="eastAsia"/>
          <w:color w:val="000000"/>
          <w:kern w:val="0"/>
          <w:szCs w:val="21"/>
        </w:rPr>
        <w:t>有限公司（以下简称太阳宏河）增资，以</w:t>
      </w:r>
      <w:proofErr w:type="gramStart"/>
      <w:r w:rsidRPr="00A05B9E">
        <w:rPr>
          <w:rFonts w:ascii="宋体" w:eastAsia="宋体" w:hAnsi="宋体" w:cs="宋体" w:hint="eastAsia"/>
          <w:color w:val="000000"/>
          <w:kern w:val="0"/>
          <w:szCs w:val="21"/>
        </w:rPr>
        <w:t>太阳宏河为</w:t>
      </w:r>
      <w:proofErr w:type="gramEnd"/>
      <w:r w:rsidRPr="00A05B9E">
        <w:rPr>
          <w:rFonts w:ascii="宋体" w:eastAsia="宋体" w:hAnsi="宋体" w:cs="宋体" w:hint="eastAsia"/>
          <w:color w:val="000000"/>
          <w:kern w:val="0"/>
          <w:szCs w:val="21"/>
        </w:rPr>
        <w:t>实施主体投资年产50万吨低克重高档牛皮箱板纸项目。公司股票当日复牌。</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我会认为，2013年12月4日太阳纸业发布《重大事项临时停牌公告》称太阳纸业正在筹划相关非公开发行股票事宜，该非公开发行股票事宜属于《证券法》第七十五条第二款第（二）项规定的“公司分配股利或者增资的计划”，在公开前为内幕信息。内幕信息敏感期为从太阳纸业董事长李某信认可海通证券采用“非公开发行”方式（不晚于2013年10月31日）至2013年12月4日。李某信的女婿朱某作为太阳纸业涉案非公开发行事宜的主导者和主要联络人之一，为内幕信息知情人；单某军是朱某大学的同学，是海通证券保荐团队与太阳纸业相关人员</w:t>
      </w:r>
      <w:proofErr w:type="gramStart"/>
      <w:r w:rsidRPr="00A05B9E">
        <w:rPr>
          <w:rFonts w:ascii="宋体" w:eastAsia="宋体" w:hAnsi="宋体" w:cs="宋体" w:hint="eastAsia"/>
          <w:color w:val="000000"/>
          <w:kern w:val="0"/>
          <w:szCs w:val="21"/>
        </w:rPr>
        <w:t>沟通非</w:t>
      </w:r>
      <w:proofErr w:type="gramEnd"/>
      <w:r w:rsidRPr="00A05B9E">
        <w:rPr>
          <w:rFonts w:ascii="宋体" w:eastAsia="宋体" w:hAnsi="宋体" w:cs="宋体" w:hint="eastAsia"/>
          <w:color w:val="000000"/>
          <w:kern w:val="0"/>
          <w:szCs w:val="21"/>
        </w:rPr>
        <w:t>公开发行事宜的主要联系人，为内幕信息知情人。</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二、朱某、单某军知悉内幕信息的情况</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太阳纸业本次非公开发行的前期工作中，朱某是本次非公开发行事宜的主要参与者及落实者。朱某通过其在海通证券工作的大学同学单某军主动找到了海通证券，最后海通证券成了太阳纸业非公开发行的保荐机构；同时朱某也是海通证券与太阳纸业董事长沟通此次再融资事项的联络人。单某军向朱某推荐海通证券为太阳纸业非公开发行的保荐机构，他是海通证券投行部与太阳纸业的朱某联系的重要联络人，多次与朱某沟通太阳纸业再融资事项，多次陪同海通证券投行部人员前往太阳纸业探讨保荐事宜，海通证券保荐团队每次都会及时将非公开发行方案的进展情况通报单某军。</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三、余盛内幕交易“太阳纸业”的情况</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余盛利用四川星月投资有限公司（余盛为其法定代表人、总经理，以下简称星月投资）、周某英及其本人账户（以下简称余盛账户组），在内幕信息敏感期内买入“太阳纸业”2,951,359股，在内幕信息公开后全部卖出，盈利6,126,657.45元。</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（一）账户交易“太阳纸业”情况</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“余盛”账户：2013年11月21日买入493,400股，成交金额2,624,768.8元，于2014年4月15日全部卖出，账户盈利814,201.27元。</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“星月投资”账户：2013年11月21日、11月22日买入191,900股，成交金额1,018,771元，于2014年8月27日全部卖出，账户盈利570,301.66元。</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周某英”账户：2013年11月15日至11月29日买入2,266,059股，成交金额11,990,121.71元，于2014年4月15日、4月17日和8月27日、8月28日全部卖出，账户盈利4,742,154.52元。内幕信息公开后，仅2013年12月16日，买入“太阳纸业”69,200股，成交金额398,911元。</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（二）账户资金划转情况</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“余盛”账户：买入“太阳纸业”的资金主要为自有资金，在内幕信息敏感期及前后无大额资金进出。</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“星月投资”账户：买入“太阳纸业”的资金主要为公司资金，在内幕信息敏感期及前后无大额资金进出。</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lastRenderedPageBreak/>
        <w:t>“周某英”账户：2013年10月30日周某英信用资金账户增加了965万，除此之外，周某英三方存管银行账户在内幕信息敏感期及前后无大额资金进出。</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上述3个账户的资金由余盛提供。</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（三）账户实际控制与操作情况</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余盛会经常询问余盛账户组的股票交易情况并下达交易指令，胡某辰会按照余盛的指令对“余盛”账户组进行操作，余盛对“余盛”账户组有较大的决策权和控制力。</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（四）余盛与朱某、单某军的接触联络情况</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2013年11月9日晚单某军和朱某一起前往成都，与海通证券四川分公司总经理许某及余盛见面。</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余盛和单某军在2012年经许某介绍认识，单某军曾向余盛推荐了一个新三板项目，余盛投资了1000万元，后出现风险，单某军一直帮助协调。在内幕信息敏感期内，余盛与单某军的电话、短信</w:t>
      </w:r>
      <w:proofErr w:type="gramStart"/>
      <w:r w:rsidRPr="00A05B9E">
        <w:rPr>
          <w:rFonts w:ascii="宋体" w:eastAsia="宋体" w:hAnsi="宋体" w:cs="宋体" w:hint="eastAsia"/>
          <w:color w:val="000000"/>
          <w:kern w:val="0"/>
          <w:szCs w:val="21"/>
        </w:rPr>
        <w:t>联系共</w:t>
      </w:r>
      <w:proofErr w:type="gramEnd"/>
      <w:r w:rsidRPr="00A05B9E">
        <w:rPr>
          <w:rFonts w:ascii="宋体" w:eastAsia="宋体" w:hAnsi="宋体" w:cs="宋体" w:hint="eastAsia"/>
          <w:color w:val="000000"/>
          <w:kern w:val="0"/>
          <w:szCs w:val="21"/>
        </w:rPr>
        <w:t>6次。</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（五）交易异常情况</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1. 余盛账户组在余盛与内幕信息知情人单某军、朱某接触联系前未交易过“太阳纸业”，接触后开始大量买入“太阳纸业”。2013年11月9日，余盛与朱某、单某军会面。“余盛”账户组买入“太阳纸业”第一笔交易的时间是2013年11月15日（星期五）10:25:36。</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2. 余盛账户组买入“太阳纸业”相比其他股票的金额放大。账户</w:t>
      </w:r>
      <w:proofErr w:type="gramStart"/>
      <w:r w:rsidRPr="00A05B9E">
        <w:rPr>
          <w:rFonts w:ascii="宋体" w:eastAsia="宋体" w:hAnsi="宋体" w:cs="宋体" w:hint="eastAsia"/>
          <w:color w:val="000000"/>
          <w:kern w:val="0"/>
          <w:szCs w:val="21"/>
        </w:rPr>
        <w:t>组总体</w:t>
      </w:r>
      <w:proofErr w:type="gramEnd"/>
      <w:r w:rsidRPr="00A05B9E">
        <w:rPr>
          <w:rFonts w:ascii="宋体" w:eastAsia="宋体" w:hAnsi="宋体" w:cs="宋体" w:hint="eastAsia"/>
          <w:color w:val="000000"/>
          <w:kern w:val="0"/>
          <w:szCs w:val="21"/>
        </w:rPr>
        <w:t>买入“太阳纸业”的金额较大。从2012年11月1日至2013年12月4日，总体买入38只股票，其中买入金额在400万以上的股票共11只。在该时期内，账户组买入“太阳纸业”金额为15,633,611.51元，无卖出，位于第二位。在该时期内，账户组对“华泰证券”“久立</w:t>
      </w:r>
      <w:proofErr w:type="gramStart"/>
      <w:r w:rsidRPr="00A05B9E">
        <w:rPr>
          <w:rFonts w:ascii="宋体" w:eastAsia="宋体" w:hAnsi="宋体" w:cs="宋体" w:hint="eastAsia"/>
          <w:color w:val="000000"/>
          <w:kern w:val="0"/>
          <w:szCs w:val="21"/>
        </w:rPr>
        <w:t>特</w:t>
      </w:r>
      <w:proofErr w:type="gramEnd"/>
      <w:r w:rsidRPr="00A05B9E">
        <w:rPr>
          <w:rFonts w:ascii="宋体" w:eastAsia="宋体" w:hAnsi="宋体" w:cs="宋体" w:hint="eastAsia"/>
          <w:color w:val="000000"/>
          <w:kern w:val="0"/>
          <w:szCs w:val="21"/>
        </w:rPr>
        <w:t>材”“天士力”进行多次买卖、反复交易，其所占用的买入</w:t>
      </w:r>
      <w:proofErr w:type="gramStart"/>
      <w:r w:rsidRPr="00A05B9E">
        <w:rPr>
          <w:rFonts w:ascii="宋体" w:eastAsia="宋体" w:hAnsi="宋体" w:cs="宋体" w:hint="eastAsia"/>
          <w:color w:val="000000"/>
          <w:kern w:val="0"/>
          <w:szCs w:val="21"/>
        </w:rPr>
        <w:t>资金额远小于</w:t>
      </w:r>
      <w:proofErr w:type="gramEnd"/>
      <w:r w:rsidRPr="00A05B9E">
        <w:rPr>
          <w:rFonts w:ascii="宋体" w:eastAsia="宋体" w:hAnsi="宋体" w:cs="宋体" w:hint="eastAsia"/>
          <w:color w:val="000000"/>
          <w:kern w:val="0"/>
          <w:szCs w:val="21"/>
        </w:rPr>
        <w:t>“太阳纸业”的买入占用资金额。</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3. 卖出其他股票，买入“太阳纸业”。“余盛”账户于2013年11月19日卖出“威孚高科”100,000股，成交金额2,752,305元，2013年11月21日仅买入“太阳纸业”一只股票，买入493,400股，成交金额2,624,768.8元。</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“星月投资”账户于2013年11月19日卖出“华西能源”43,740股，成交金额1,019,379.4元，2013年11月21日和22日仅买入“太阳纸业”一只股票，两天合计买入191,900股，成交金额1,018,771元。</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周某英”账户于2013年11月15日至11月29日卖出“华天科技”“恒天天鹅”“万顺股份”等股票，成交金额11,634,893.49元，期间仅买入“太阳纸业”“华鹏飞”及“鼎泰新材”3只股票，买入金额共计12,943,140.81元，其中，“太阳纸业”买入金额占比92.63%。</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4. “太阳纸业”买入金额占同期账户可使用资金总额比例较大。“余盛”账户买入“太阳纸业”金额占同期账户可使用资金金额的99.9%，“星月投资”账户买入“太阳纸业”金额占同期账户可使用资金金额的99.89%，“周某英”账户买入“太阳纸业”金额占同期账户可使用资金金额的89.57%。</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以上事实，有相关公告、相关人员询问笔录、情况说明、通讯记录、涉案证券账户开户资料、交易流水、银行账户资料等证据证明，足以认定。</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lastRenderedPageBreak/>
        <w:t>余盛的上述行为违反了《证券法》第七十三条、第七十六条第一款的规定，构成《证券法》第二百零二条所述内幕交易行为。</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当事人提出如下陈述申辩意见：</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1. 相关涉案人员的询问笔录并不能证明在2013年10月31日之前，“太阳纸业”筹划相关非公开发行股票事宜已经进入到实际操作阶段并具有较大的可实现性。2.未认定单某军、朱某知悉内幕信息的时间，不能当然的认定单某军、朱某与当事人接触时泄露了内幕信息或当事人非法获取了内幕信息。3.余盛账户</w:t>
      </w:r>
      <w:proofErr w:type="gramStart"/>
      <w:r w:rsidRPr="00A05B9E">
        <w:rPr>
          <w:rFonts w:ascii="宋体" w:eastAsia="宋体" w:hAnsi="宋体" w:cs="宋体" w:hint="eastAsia"/>
          <w:color w:val="000000"/>
          <w:kern w:val="0"/>
          <w:szCs w:val="21"/>
        </w:rPr>
        <w:t>组并非</w:t>
      </w:r>
      <w:proofErr w:type="gramEnd"/>
      <w:r w:rsidRPr="00A05B9E">
        <w:rPr>
          <w:rFonts w:ascii="宋体" w:eastAsia="宋体" w:hAnsi="宋体" w:cs="宋体" w:hint="eastAsia"/>
          <w:color w:val="000000"/>
          <w:kern w:val="0"/>
          <w:szCs w:val="21"/>
        </w:rPr>
        <w:t>由余盛实际控制。而是由胡某辰控制。4.敏感期内当事人与单某军通话</w:t>
      </w:r>
      <w:proofErr w:type="gramStart"/>
      <w:r w:rsidRPr="00A05B9E">
        <w:rPr>
          <w:rFonts w:ascii="宋体" w:eastAsia="宋体" w:hAnsi="宋体" w:cs="宋体" w:hint="eastAsia"/>
          <w:color w:val="000000"/>
          <w:kern w:val="0"/>
          <w:szCs w:val="21"/>
        </w:rPr>
        <w:t>系协调</w:t>
      </w:r>
      <w:proofErr w:type="gramEnd"/>
      <w:r w:rsidRPr="00A05B9E">
        <w:rPr>
          <w:rFonts w:ascii="宋体" w:eastAsia="宋体" w:hAnsi="宋体" w:cs="宋体" w:hint="eastAsia"/>
          <w:color w:val="000000"/>
          <w:kern w:val="0"/>
          <w:szCs w:val="21"/>
        </w:rPr>
        <w:t>解决</w:t>
      </w:r>
      <w:proofErr w:type="gramStart"/>
      <w:r w:rsidRPr="00A05B9E">
        <w:rPr>
          <w:rFonts w:ascii="宋体" w:eastAsia="宋体" w:hAnsi="宋体" w:cs="宋体" w:hint="eastAsia"/>
          <w:color w:val="000000"/>
          <w:kern w:val="0"/>
          <w:szCs w:val="21"/>
        </w:rPr>
        <w:t>华盛强公司</w:t>
      </w:r>
      <w:proofErr w:type="gramEnd"/>
      <w:r w:rsidRPr="00A05B9E">
        <w:rPr>
          <w:rFonts w:ascii="宋体" w:eastAsia="宋体" w:hAnsi="宋体" w:cs="宋体" w:hint="eastAsia"/>
          <w:color w:val="000000"/>
          <w:kern w:val="0"/>
          <w:szCs w:val="21"/>
        </w:rPr>
        <w:t>投资问题，联络有合理解释。5.本案中，证监会并未认定许某涉嫌内幕交易，更未拟对其做出处罚。在未认可许某传递过内幕信息的情况下，告知书却认为余盛从许某处获得了内幕信息，属于认定事实不清，证据不足。6.余盛交易行为</w:t>
      </w:r>
      <w:proofErr w:type="gramStart"/>
      <w:r w:rsidRPr="00A05B9E">
        <w:rPr>
          <w:rFonts w:ascii="宋体" w:eastAsia="宋体" w:hAnsi="宋体" w:cs="宋体" w:hint="eastAsia"/>
          <w:color w:val="000000"/>
          <w:kern w:val="0"/>
          <w:szCs w:val="21"/>
        </w:rPr>
        <w:t>不</w:t>
      </w:r>
      <w:proofErr w:type="gramEnd"/>
      <w:r w:rsidRPr="00A05B9E">
        <w:rPr>
          <w:rFonts w:ascii="宋体" w:eastAsia="宋体" w:hAnsi="宋体" w:cs="宋体" w:hint="eastAsia"/>
          <w:color w:val="000000"/>
          <w:kern w:val="0"/>
          <w:szCs w:val="21"/>
        </w:rPr>
        <w:t>异常。（1）2013年11月15日上午单某军和许某、许某和余盛先后联系后，11月21日余盛账户组才大量买入“太阳纸业”，大量买入“太阳纸业”的时间与单某军、朱某、余盛、许某的接触时间并不相一致。（2）内幕信息公开后，账户继续大量买入。（3）买入“太阳纸业”系基于团队研究，交易风格保持一致。7.违法所得应当以内幕信息公开之日或公开后一周以内“太阳纸业”的平均收盘价作为计算违法所得以及罚款金额的依据。</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我会认为：1.太阳纸业董事长李某信为非公开发行方案的重要决策人员，在其表示不希望采用债券融资方案后，2013年10月18日，海通证券做出了《太阳纸业再融资方案比较说明书》并决定向太阳纸业</w:t>
      </w:r>
      <w:proofErr w:type="gramStart"/>
      <w:r w:rsidRPr="00A05B9E">
        <w:rPr>
          <w:rFonts w:ascii="宋体" w:eastAsia="宋体" w:hAnsi="宋体" w:cs="宋体" w:hint="eastAsia"/>
          <w:color w:val="000000"/>
          <w:kern w:val="0"/>
          <w:szCs w:val="21"/>
        </w:rPr>
        <w:t>推荐非</w:t>
      </w:r>
      <w:proofErr w:type="gramEnd"/>
      <w:r w:rsidRPr="00A05B9E">
        <w:rPr>
          <w:rFonts w:ascii="宋体" w:eastAsia="宋体" w:hAnsi="宋体" w:cs="宋体" w:hint="eastAsia"/>
          <w:color w:val="000000"/>
          <w:kern w:val="0"/>
          <w:szCs w:val="21"/>
        </w:rPr>
        <w:t>公开发行方案，由单某军转达朱某，2013年10月下旬，朱某将非公开发行方案事项告诉李某信，其同意采用非公开发行的方式融资此时为推进该事项启动的重要节点，影响内幕信息形成的动议、筹划或者执行人员，其动议、筹划、决策或者执行的初始时间，应当认定为内幕信息的形成之时，李某信为太阳纸业董事长，是对融资方案选择有决定性作用的人员，其同意发行方案的时间应确定为内幕信息形成时点，故内幕信息形成不晚于2013年10月31日。2.朱某和单某军作为太阳纸业和海通证券的联系纽带，全程参与非公开发行的筹划，方案制作，知悉内幕信息。余盛在内幕信息敏感期内，与朱某、单某军联系接触，11月9日双方接触后，在11月15日上午，</w:t>
      </w:r>
      <w:proofErr w:type="gramStart"/>
      <w:r w:rsidRPr="00A05B9E">
        <w:rPr>
          <w:rFonts w:ascii="宋体" w:eastAsia="宋体" w:hAnsi="宋体" w:cs="宋体" w:hint="eastAsia"/>
          <w:color w:val="000000"/>
          <w:kern w:val="0"/>
          <w:szCs w:val="21"/>
        </w:rPr>
        <w:t>余盛账户</w:t>
      </w:r>
      <w:proofErr w:type="gramEnd"/>
      <w:r w:rsidRPr="00A05B9E">
        <w:rPr>
          <w:rFonts w:ascii="宋体" w:eastAsia="宋体" w:hAnsi="宋体" w:cs="宋体" w:hint="eastAsia"/>
          <w:color w:val="000000"/>
          <w:kern w:val="0"/>
          <w:szCs w:val="21"/>
        </w:rPr>
        <w:t>组开始买入“太阳纸业”，11月15日海通证券做好了非公开发行方案，</w:t>
      </w:r>
      <w:proofErr w:type="gramStart"/>
      <w:r w:rsidRPr="00A05B9E">
        <w:rPr>
          <w:rFonts w:ascii="宋体" w:eastAsia="宋体" w:hAnsi="宋体" w:cs="宋体" w:hint="eastAsia"/>
          <w:color w:val="000000"/>
          <w:kern w:val="0"/>
          <w:szCs w:val="21"/>
        </w:rPr>
        <w:t>余盛交易</w:t>
      </w:r>
      <w:proofErr w:type="gramEnd"/>
      <w:r w:rsidRPr="00A05B9E">
        <w:rPr>
          <w:rFonts w:ascii="宋体" w:eastAsia="宋体" w:hAnsi="宋体" w:cs="宋体" w:hint="eastAsia"/>
          <w:color w:val="000000"/>
          <w:kern w:val="0"/>
          <w:szCs w:val="21"/>
        </w:rPr>
        <w:t>“太阳纸业”的时间与内幕信息知情人接触时间高度吻合，与内幕信息发展过程高度吻合。3.“余盛”账户组的三个账户均</w:t>
      </w:r>
      <w:proofErr w:type="gramStart"/>
      <w:r w:rsidRPr="00A05B9E">
        <w:rPr>
          <w:rFonts w:ascii="宋体" w:eastAsia="宋体" w:hAnsi="宋体" w:cs="宋体" w:hint="eastAsia"/>
          <w:color w:val="000000"/>
          <w:kern w:val="0"/>
          <w:szCs w:val="21"/>
        </w:rPr>
        <w:t>是余盛提供</w:t>
      </w:r>
      <w:proofErr w:type="gramEnd"/>
      <w:r w:rsidRPr="00A05B9E">
        <w:rPr>
          <w:rFonts w:ascii="宋体" w:eastAsia="宋体" w:hAnsi="宋体" w:cs="宋体" w:hint="eastAsia"/>
          <w:color w:val="000000"/>
          <w:kern w:val="0"/>
          <w:szCs w:val="21"/>
        </w:rPr>
        <w:t>，资金都</w:t>
      </w:r>
      <w:proofErr w:type="gramStart"/>
      <w:r w:rsidRPr="00A05B9E">
        <w:rPr>
          <w:rFonts w:ascii="宋体" w:eastAsia="宋体" w:hAnsi="宋体" w:cs="宋体" w:hint="eastAsia"/>
          <w:color w:val="000000"/>
          <w:kern w:val="0"/>
          <w:szCs w:val="21"/>
        </w:rPr>
        <w:t>来源于余盛的</w:t>
      </w:r>
      <w:proofErr w:type="gramEnd"/>
      <w:r w:rsidRPr="00A05B9E">
        <w:rPr>
          <w:rFonts w:ascii="宋体" w:eastAsia="宋体" w:hAnsi="宋体" w:cs="宋体" w:hint="eastAsia"/>
          <w:color w:val="000000"/>
          <w:kern w:val="0"/>
          <w:szCs w:val="21"/>
        </w:rPr>
        <w:t>自有资金，账户收益也都归于余盛。</w:t>
      </w:r>
      <w:proofErr w:type="gramStart"/>
      <w:r w:rsidRPr="00A05B9E">
        <w:rPr>
          <w:rFonts w:ascii="宋体" w:eastAsia="宋体" w:hAnsi="宋体" w:cs="宋体" w:hint="eastAsia"/>
          <w:color w:val="000000"/>
          <w:kern w:val="0"/>
          <w:szCs w:val="21"/>
        </w:rPr>
        <w:t>余盛与</w:t>
      </w:r>
      <w:proofErr w:type="gramEnd"/>
      <w:r w:rsidRPr="00A05B9E">
        <w:rPr>
          <w:rFonts w:ascii="宋体" w:eastAsia="宋体" w:hAnsi="宋体" w:cs="宋体" w:hint="eastAsia"/>
          <w:color w:val="000000"/>
          <w:kern w:val="0"/>
          <w:szCs w:val="21"/>
        </w:rPr>
        <w:t>胡某辰</w:t>
      </w:r>
      <w:proofErr w:type="gramStart"/>
      <w:r w:rsidRPr="00A05B9E">
        <w:rPr>
          <w:rFonts w:ascii="宋体" w:eastAsia="宋体" w:hAnsi="宋体" w:cs="宋体" w:hint="eastAsia"/>
          <w:color w:val="000000"/>
          <w:kern w:val="0"/>
          <w:szCs w:val="21"/>
        </w:rPr>
        <w:t>的微信内容</w:t>
      </w:r>
      <w:proofErr w:type="gramEnd"/>
      <w:r w:rsidRPr="00A05B9E">
        <w:rPr>
          <w:rFonts w:ascii="宋体" w:eastAsia="宋体" w:hAnsi="宋体" w:cs="宋体" w:hint="eastAsia"/>
          <w:color w:val="000000"/>
          <w:kern w:val="0"/>
          <w:szCs w:val="21"/>
        </w:rPr>
        <w:t>可以证明，余盛会经常</w:t>
      </w:r>
      <w:proofErr w:type="gramStart"/>
      <w:r w:rsidRPr="00A05B9E">
        <w:rPr>
          <w:rFonts w:ascii="宋体" w:eastAsia="宋体" w:hAnsi="宋体" w:cs="宋体" w:hint="eastAsia"/>
          <w:color w:val="000000"/>
          <w:kern w:val="0"/>
          <w:szCs w:val="21"/>
        </w:rPr>
        <w:t>过问余盛账户</w:t>
      </w:r>
      <w:proofErr w:type="gramEnd"/>
      <w:r w:rsidRPr="00A05B9E">
        <w:rPr>
          <w:rFonts w:ascii="宋体" w:eastAsia="宋体" w:hAnsi="宋体" w:cs="宋体" w:hint="eastAsia"/>
          <w:color w:val="000000"/>
          <w:kern w:val="0"/>
          <w:szCs w:val="21"/>
        </w:rPr>
        <w:t>组的股票交易情况并下达交易指令，胡某辰会</w:t>
      </w:r>
      <w:proofErr w:type="gramStart"/>
      <w:r w:rsidRPr="00A05B9E">
        <w:rPr>
          <w:rFonts w:ascii="宋体" w:eastAsia="宋体" w:hAnsi="宋体" w:cs="宋体" w:hint="eastAsia"/>
          <w:color w:val="000000"/>
          <w:kern w:val="0"/>
          <w:szCs w:val="21"/>
        </w:rPr>
        <w:t>按照余盛的</w:t>
      </w:r>
      <w:proofErr w:type="gramEnd"/>
      <w:r w:rsidRPr="00A05B9E">
        <w:rPr>
          <w:rFonts w:ascii="宋体" w:eastAsia="宋体" w:hAnsi="宋体" w:cs="宋体" w:hint="eastAsia"/>
          <w:color w:val="000000"/>
          <w:kern w:val="0"/>
          <w:szCs w:val="21"/>
        </w:rPr>
        <w:t>指令</w:t>
      </w:r>
      <w:proofErr w:type="gramStart"/>
      <w:r w:rsidRPr="00A05B9E">
        <w:rPr>
          <w:rFonts w:ascii="宋体" w:eastAsia="宋体" w:hAnsi="宋体" w:cs="宋体" w:hint="eastAsia"/>
          <w:color w:val="000000"/>
          <w:kern w:val="0"/>
          <w:szCs w:val="21"/>
        </w:rPr>
        <w:t>对余盛账户</w:t>
      </w:r>
      <w:proofErr w:type="gramEnd"/>
      <w:r w:rsidRPr="00A05B9E">
        <w:rPr>
          <w:rFonts w:ascii="宋体" w:eastAsia="宋体" w:hAnsi="宋体" w:cs="宋体" w:hint="eastAsia"/>
          <w:color w:val="000000"/>
          <w:kern w:val="0"/>
          <w:szCs w:val="21"/>
        </w:rPr>
        <w:t>组进行操作，</w:t>
      </w:r>
      <w:proofErr w:type="gramStart"/>
      <w:r w:rsidRPr="00A05B9E">
        <w:rPr>
          <w:rFonts w:ascii="宋体" w:eastAsia="宋体" w:hAnsi="宋体" w:cs="宋体" w:hint="eastAsia"/>
          <w:color w:val="000000"/>
          <w:kern w:val="0"/>
          <w:szCs w:val="21"/>
        </w:rPr>
        <w:t>余盛对余盛</w:t>
      </w:r>
      <w:proofErr w:type="gramEnd"/>
      <w:r w:rsidRPr="00A05B9E">
        <w:rPr>
          <w:rFonts w:ascii="宋体" w:eastAsia="宋体" w:hAnsi="宋体" w:cs="宋体" w:hint="eastAsia"/>
          <w:color w:val="000000"/>
          <w:kern w:val="0"/>
          <w:szCs w:val="21"/>
        </w:rPr>
        <w:t>账户组有较大的决策权和控制力，胡某辰</w:t>
      </w:r>
      <w:proofErr w:type="gramStart"/>
      <w:r w:rsidRPr="00A05B9E">
        <w:rPr>
          <w:rFonts w:ascii="宋体" w:eastAsia="宋体" w:hAnsi="宋体" w:cs="宋体" w:hint="eastAsia"/>
          <w:color w:val="000000"/>
          <w:kern w:val="0"/>
          <w:szCs w:val="21"/>
        </w:rPr>
        <w:t>操作余盛账户</w:t>
      </w:r>
      <w:proofErr w:type="gramEnd"/>
      <w:r w:rsidRPr="00A05B9E">
        <w:rPr>
          <w:rFonts w:ascii="宋体" w:eastAsia="宋体" w:hAnsi="宋体" w:cs="宋体" w:hint="eastAsia"/>
          <w:color w:val="000000"/>
          <w:kern w:val="0"/>
          <w:szCs w:val="21"/>
        </w:rPr>
        <w:t>领取的是固定薪酬，从薪酬结构看，</w:t>
      </w:r>
      <w:proofErr w:type="gramStart"/>
      <w:r w:rsidRPr="00A05B9E">
        <w:rPr>
          <w:rFonts w:ascii="宋体" w:eastAsia="宋体" w:hAnsi="宋体" w:cs="宋体" w:hint="eastAsia"/>
          <w:color w:val="000000"/>
          <w:kern w:val="0"/>
          <w:szCs w:val="21"/>
        </w:rPr>
        <w:t>余盛账户组完全</w:t>
      </w:r>
      <w:proofErr w:type="gramEnd"/>
      <w:r w:rsidRPr="00A05B9E">
        <w:rPr>
          <w:rFonts w:ascii="宋体" w:eastAsia="宋体" w:hAnsi="宋体" w:cs="宋体" w:hint="eastAsia"/>
          <w:color w:val="000000"/>
          <w:kern w:val="0"/>
          <w:szCs w:val="21"/>
        </w:rPr>
        <w:t>由胡某辰决策不符合常理，综上，</w:t>
      </w:r>
      <w:proofErr w:type="gramStart"/>
      <w:r w:rsidRPr="00A05B9E">
        <w:rPr>
          <w:rFonts w:ascii="宋体" w:eastAsia="宋体" w:hAnsi="宋体" w:cs="宋体" w:hint="eastAsia"/>
          <w:color w:val="000000"/>
          <w:kern w:val="0"/>
          <w:szCs w:val="21"/>
        </w:rPr>
        <w:t>对余盛账户</w:t>
      </w:r>
      <w:proofErr w:type="gramEnd"/>
      <w:r w:rsidRPr="00A05B9E">
        <w:rPr>
          <w:rFonts w:ascii="宋体" w:eastAsia="宋体" w:hAnsi="宋体" w:cs="宋体" w:hint="eastAsia"/>
          <w:color w:val="000000"/>
          <w:kern w:val="0"/>
          <w:szCs w:val="21"/>
        </w:rPr>
        <w:t>组由胡某辰完全决策的说法不予采纳。4.当事人关于与内幕信息知情人沟通华盛强项目的解释，不能解释交易的异常性。5.是否认定朱某、单某军、许某构成泄露内幕信息或许某构成内幕交易，不是认定</w:t>
      </w:r>
      <w:proofErr w:type="gramStart"/>
      <w:r w:rsidRPr="00A05B9E">
        <w:rPr>
          <w:rFonts w:ascii="宋体" w:eastAsia="宋体" w:hAnsi="宋体" w:cs="宋体" w:hint="eastAsia"/>
          <w:color w:val="000000"/>
          <w:kern w:val="0"/>
          <w:szCs w:val="21"/>
        </w:rPr>
        <w:t>余盛构成</w:t>
      </w:r>
      <w:proofErr w:type="gramEnd"/>
      <w:r w:rsidRPr="00A05B9E">
        <w:rPr>
          <w:rFonts w:ascii="宋体" w:eastAsia="宋体" w:hAnsi="宋体" w:cs="宋体" w:hint="eastAsia"/>
          <w:color w:val="000000"/>
          <w:kern w:val="0"/>
          <w:szCs w:val="21"/>
        </w:rPr>
        <w:t>内幕交易的前提条件。本案认定的是当事人与朱某、单某军接触联络后，从事了内幕交易。6.（1）2013年11月9日，余盛与朱某、单某军会面后，余盛账户组买入“太阳纸业”第一笔交易的时间是2013年11月15日（星期五）10:25:36，余盛账户组买入“太阳纸业”的时间与内幕信息知情人接触联络时间</w:t>
      </w:r>
      <w:r w:rsidRPr="00A05B9E">
        <w:rPr>
          <w:rFonts w:ascii="宋体" w:eastAsia="宋体" w:hAnsi="宋体" w:cs="宋体" w:hint="eastAsia"/>
          <w:color w:val="000000"/>
          <w:kern w:val="0"/>
          <w:szCs w:val="21"/>
        </w:rPr>
        <w:lastRenderedPageBreak/>
        <w:t>高度吻合。余盛买入“太阳纸业”的金额占同期账户可使用资金总额比例较大。其中余盛账户买入“太阳纸业”金额占同期账户可使用资金金额的99.9%，“星月投资”账户买入“太阳纸业”金额占同期账户可使用资金金额的99.89%，“周某英”账户买入“太阳纸业”金额占同期账户可使用资金金额的89.57%。（2）法律禁止非法获取内幕信息的人员利用内幕信息从事证券交易活动，信息公开后余盛账户组继续大量买入“太阳纸业”，不影响对内幕信息敏感期内实施内幕交易行为的认定。（3）当事人提供的投</w:t>
      </w:r>
      <w:proofErr w:type="gramStart"/>
      <w:r w:rsidRPr="00A05B9E">
        <w:rPr>
          <w:rFonts w:ascii="宋体" w:eastAsia="宋体" w:hAnsi="宋体" w:cs="宋体" w:hint="eastAsia"/>
          <w:color w:val="000000"/>
          <w:kern w:val="0"/>
          <w:szCs w:val="21"/>
        </w:rPr>
        <w:t>研</w:t>
      </w:r>
      <w:proofErr w:type="gramEnd"/>
      <w:r w:rsidRPr="00A05B9E">
        <w:rPr>
          <w:rFonts w:ascii="宋体" w:eastAsia="宋体" w:hAnsi="宋体" w:cs="宋体" w:hint="eastAsia"/>
          <w:color w:val="000000"/>
          <w:kern w:val="0"/>
          <w:szCs w:val="21"/>
        </w:rPr>
        <w:t>报告与太阳纸业无关，故对其交易是基于团队研究的说法不予采信。7.违法所得计算按照当事人实际违法所得计算，符合我会一贯的执法标准。</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根据当事人违法行为的事实、性质、情节与社会危害程度，依据《证券法》第二百零二条的规定，我会决定：没收余盛违法所得6,126,657.45元，并处以6,126,657.45元罚款。</w:t>
      </w:r>
    </w:p>
    <w:p w:rsidR="00A05B9E" w:rsidRPr="00A05B9E" w:rsidRDefault="00A05B9E" w:rsidP="00A05B9E">
      <w:pPr>
        <w:widowControl/>
        <w:shd w:val="clear" w:color="auto" w:fill="FFFFFF"/>
        <w:spacing w:line="360" w:lineRule="atLeast"/>
        <w:ind w:firstLine="420"/>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A05B9E">
        <w:rPr>
          <w:rFonts w:ascii="宋体" w:eastAsia="宋体" w:hAnsi="宋体" w:cs="宋体" w:hint="eastAsia"/>
          <w:color w:val="000000"/>
          <w:kern w:val="0"/>
          <w:szCs w:val="21"/>
        </w:rPr>
        <w:t>汇缴专户</w:t>
      </w:r>
      <w:proofErr w:type="gramEnd"/>
      <w:r w:rsidRPr="00A05B9E">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05B9E" w:rsidRPr="00A05B9E" w:rsidRDefault="00A05B9E" w:rsidP="00A05B9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中国证监会</w:t>
      </w:r>
      <w:proofErr w:type="gramStart"/>
      <w:r w:rsidRPr="00A05B9E">
        <w:rPr>
          <w:rFonts w:ascii="宋体" w:eastAsia="宋体" w:hAnsi="宋体" w:cs="宋体" w:hint="eastAsia"/>
          <w:color w:val="000000"/>
          <w:kern w:val="0"/>
          <w:szCs w:val="21"/>
        </w:rPr>
        <w:t xml:space="preserve">　　　　　</w:t>
      </w:r>
      <w:proofErr w:type="gramEnd"/>
      <w:r w:rsidRPr="00A05B9E">
        <w:rPr>
          <w:rFonts w:ascii="宋体" w:eastAsia="宋体" w:hAnsi="宋体" w:cs="宋体" w:hint="eastAsia"/>
          <w:color w:val="000000"/>
          <w:kern w:val="0"/>
          <w:szCs w:val="21"/>
        </w:rPr>
        <w:t> </w:t>
      </w:r>
    </w:p>
    <w:p w:rsidR="00A05B9E" w:rsidRPr="00A05B9E" w:rsidRDefault="00A05B9E" w:rsidP="00A05B9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05B9E">
        <w:rPr>
          <w:rFonts w:ascii="宋体" w:eastAsia="宋体" w:hAnsi="宋体" w:cs="宋体" w:hint="eastAsia"/>
          <w:color w:val="000000"/>
          <w:kern w:val="0"/>
          <w:szCs w:val="21"/>
        </w:rPr>
        <w:t xml:space="preserve">2019年2月28日　　</w:t>
      </w:r>
      <w:proofErr w:type="gramStart"/>
      <w:r w:rsidRPr="00A05B9E">
        <w:rPr>
          <w:rFonts w:ascii="宋体" w:eastAsia="宋体" w:hAnsi="宋体" w:cs="宋体" w:hint="eastAsia"/>
          <w:color w:val="000000"/>
          <w:kern w:val="0"/>
          <w:szCs w:val="21"/>
        </w:rPr>
        <w:t xml:space="preserve">　　</w:t>
      </w:r>
      <w:proofErr w:type="gramEnd"/>
    </w:p>
    <w:p w:rsidR="00A05B9E" w:rsidRPr="00A05B9E" w:rsidRDefault="00A05B9E" w:rsidP="00A05B9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05B9E" w:rsidRPr="00A05B9E" w:rsidTr="00A05B9E">
        <w:trPr>
          <w:tblCellSpacing w:w="15" w:type="dxa"/>
          <w:jc w:val="center"/>
        </w:trPr>
        <w:tc>
          <w:tcPr>
            <w:tcW w:w="900" w:type="dxa"/>
            <w:vAlign w:val="center"/>
            <w:hideMark/>
          </w:tcPr>
          <w:p w:rsidR="00A05B9E" w:rsidRPr="00A05B9E" w:rsidRDefault="00A05B9E" w:rsidP="00A05B9E">
            <w:pPr>
              <w:widowControl/>
              <w:jc w:val="left"/>
              <w:rPr>
                <w:rFonts w:ascii="宋体" w:eastAsia="宋体" w:hAnsi="宋体" w:cs="宋体" w:hint="eastAsia"/>
                <w:kern w:val="0"/>
                <w:sz w:val="18"/>
                <w:szCs w:val="18"/>
              </w:rPr>
            </w:pPr>
            <w:r w:rsidRPr="00A05B9E">
              <w:rPr>
                <w:rFonts w:ascii="宋体" w:eastAsia="宋体" w:hAnsi="宋体" w:cs="宋体"/>
                <w:kern w:val="0"/>
                <w:sz w:val="18"/>
                <w:szCs w:val="18"/>
              </w:rPr>
              <w:t> </w:t>
            </w:r>
          </w:p>
        </w:tc>
        <w:tc>
          <w:tcPr>
            <w:tcW w:w="1200" w:type="dxa"/>
            <w:vAlign w:val="center"/>
            <w:hideMark/>
          </w:tcPr>
          <w:p w:rsidR="00A05B9E" w:rsidRPr="00A05B9E" w:rsidRDefault="00A05B9E" w:rsidP="00A05B9E">
            <w:pPr>
              <w:widowControl/>
              <w:jc w:val="left"/>
              <w:rPr>
                <w:rFonts w:ascii="宋体" w:eastAsia="宋体" w:hAnsi="宋体" w:cs="宋体"/>
                <w:kern w:val="0"/>
                <w:sz w:val="18"/>
                <w:szCs w:val="18"/>
              </w:rPr>
            </w:pPr>
            <w:r w:rsidRPr="00A05B9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05B9E" w:rsidRPr="00A05B9E" w:rsidRDefault="00A05B9E" w:rsidP="00A05B9E">
            <w:pPr>
              <w:widowControl/>
              <w:jc w:val="left"/>
              <w:rPr>
                <w:rFonts w:ascii="宋体" w:eastAsia="宋体" w:hAnsi="宋体" w:cs="宋体"/>
                <w:kern w:val="0"/>
                <w:sz w:val="18"/>
                <w:szCs w:val="18"/>
              </w:rPr>
            </w:pPr>
            <w:r w:rsidRPr="00A05B9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05B9E" w:rsidRPr="00A05B9E" w:rsidRDefault="00A05B9E" w:rsidP="00A05B9E">
            <w:pPr>
              <w:widowControl/>
              <w:jc w:val="left"/>
              <w:rPr>
                <w:rFonts w:ascii="宋体" w:eastAsia="宋体" w:hAnsi="宋体" w:cs="宋体"/>
                <w:kern w:val="0"/>
                <w:sz w:val="18"/>
                <w:szCs w:val="18"/>
              </w:rPr>
            </w:pPr>
            <w:r w:rsidRPr="00A05B9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05B9E" w:rsidRPr="00A05B9E" w:rsidRDefault="00A05B9E" w:rsidP="00A05B9E">
      <w:pPr>
        <w:widowControl/>
        <w:jc w:val="center"/>
        <w:rPr>
          <w:rFonts w:ascii="微软雅黑" w:eastAsia="微软雅黑" w:hAnsi="微软雅黑" w:cs="宋体"/>
          <w:color w:val="515151"/>
          <w:kern w:val="0"/>
          <w:sz w:val="18"/>
          <w:szCs w:val="18"/>
        </w:rPr>
      </w:pPr>
      <w:hyperlink r:id="rId11" w:tgtFrame="_blank" w:history="1">
        <w:r w:rsidRPr="00A05B9E">
          <w:rPr>
            <w:rFonts w:ascii="微软雅黑" w:eastAsia="微软雅黑" w:hAnsi="微软雅黑" w:cs="宋体" w:hint="eastAsia"/>
            <w:color w:val="0000FF"/>
            <w:kern w:val="0"/>
            <w:sz w:val="18"/>
            <w:szCs w:val="18"/>
            <w:u w:val="single"/>
          </w:rPr>
          <w:t>关于我们</w:t>
        </w:r>
      </w:hyperlink>
      <w:r w:rsidRPr="00A05B9E">
        <w:rPr>
          <w:rFonts w:ascii="微软雅黑" w:eastAsia="微软雅黑" w:hAnsi="微软雅黑" w:cs="宋体" w:hint="eastAsia"/>
          <w:color w:val="515151"/>
          <w:kern w:val="0"/>
          <w:sz w:val="18"/>
          <w:szCs w:val="18"/>
        </w:rPr>
        <w:t> - </w:t>
      </w:r>
      <w:hyperlink r:id="rId12" w:tgtFrame="_blank" w:history="1">
        <w:r w:rsidRPr="00A05B9E">
          <w:rPr>
            <w:rFonts w:ascii="微软雅黑" w:eastAsia="微软雅黑" w:hAnsi="微软雅黑" w:cs="宋体" w:hint="eastAsia"/>
            <w:color w:val="0000FF"/>
            <w:kern w:val="0"/>
            <w:sz w:val="18"/>
            <w:szCs w:val="18"/>
            <w:u w:val="single"/>
          </w:rPr>
          <w:t>法律声明</w:t>
        </w:r>
      </w:hyperlink>
      <w:r w:rsidRPr="00A05B9E">
        <w:rPr>
          <w:rFonts w:ascii="微软雅黑" w:eastAsia="微软雅黑" w:hAnsi="微软雅黑" w:cs="宋体" w:hint="eastAsia"/>
          <w:color w:val="515151"/>
          <w:kern w:val="0"/>
          <w:sz w:val="18"/>
          <w:szCs w:val="18"/>
        </w:rPr>
        <w:t> - </w:t>
      </w:r>
      <w:hyperlink r:id="rId13" w:tgtFrame="_blank" w:history="1">
        <w:r w:rsidRPr="00A05B9E">
          <w:rPr>
            <w:rFonts w:ascii="微软雅黑" w:eastAsia="微软雅黑" w:hAnsi="微软雅黑" w:cs="宋体" w:hint="eastAsia"/>
            <w:color w:val="0000FF"/>
            <w:kern w:val="0"/>
            <w:sz w:val="18"/>
            <w:szCs w:val="18"/>
            <w:u w:val="single"/>
          </w:rPr>
          <w:t>联系我们</w:t>
        </w:r>
      </w:hyperlink>
    </w:p>
    <w:p w:rsidR="00A05B9E" w:rsidRPr="00A05B9E" w:rsidRDefault="00A05B9E" w:rsidP="00A05B9E">
      <w:pPr>
        <w:widowControl/>
        <w:jc w:val="center"/>
        <w:rPr>
          <w:rFonts w:ascii="微软雅黑" w:eastAsia="微软雅黑" w:hAnsi="微软雅黑" w:cs="宋体" w:hint="eastAsia"/>
          <w:color w:val="515151"/>
          <w:kern w:val="0"/>
          <w:sz w:val="18"/>
          <w:szCs w:val="18"/>
        </w:rPr>
      </w:pPr>
      <w:r w:rsidRPr="00A05B9E">
        <w:rPr>
          <w:rFonts w:ascii="微软雅黑" w:eastAsia="微软雅黑" w:hAnsi="微软雅黑" w:cs="宋体" w:hint="eastAsia"/>
          <w:color w:val="515151"/>
          <w:kern w:val="0"/>
          <w:sz w:val="18"/>
          <w:szCs w:val="18"/>
        </w:rPr>
        <w:t>版权所有：中国证券监督管理委员会 京ICP备 05035542号</w:t>
      </w:r>
    </w:p>
    <w:p w:rsidR="00A05B9E" w:rsidRPr="00A05B9E" w:rsidRDefault="00A05B9E" w:rsidP="00A05B9E">
      <w:pPr>
        <w:widowControl/>
        <w:jc w:val="center"/>
        <w:rPr>
          <w:rFonts w:ascii="微软雅黑" w:eastAsia="微软雅黑" w:hAnsi="微软雅黑" w:cs="宋体" w:hint="eastAsia"/>
          <w:color w:val="515151"/>
          <w:kern w:val="0"/>
          <w:sz w:val="18"/>
          <w:szCs w:val="18"/>
        </w:rPr>
      </w:pPr>
      <w:r w:rsidRPr="00A05B9E">
        <w:rPr>
          <w:rFonts w:ascii="微软雅黑" w:eastAsia="微软雅黑" w:hAnsi="微软雅黑" w:cs="宋体" w:hint="eastAsia"/>
          <w:color w:val="515151"/>
          <w:kern w:val="0"/>
          <w:sz w:val="18"/>
          <w:szCs w:val="18"/>
        </w:rPr>
        <w:t>地址：北京市西城区金融大街19号富凯大厦A座 邮编：100033</w:t>
      </w:r>
    </w:p>
    <w:p w:rsidR="00A05B9E" w:rsidRPr="00A05B9E" w:rsidRDefault="00A05B9E" w:rsidP="00A05B9E">
      <w:pPr>
        <w:widowControl/>
        <w:jc w:val="center"/>
        <w:rPr>
          <w:rFonts w:ascii="微软雅黑" w:eastAsia="微软雅黑" w:hAnsi="微软雅黑" w:cs="宋体" w:hint="eastAsia"/>
          <w:color w:val="515151"/>
          <w:kern w:val="0"/>
          <w:sz w:val="18"/>
          <w:szCs w:val="18"/>
        </w:rPr>
      </w:pPr>
      <w:r w:rsidRPr="00A05B9E">
        <w:rPr>
          <w:rFonts w:ascii="微软雅黑" w:eastAsia="微软雅黑" w:hAnsi="微软雅黑" w:cs="宋体" w:hint="eastAsia"/>
          <w:color w:val="515151"/>
          <w:kern w:val="0"/>
          <w:sz w:val="18"/>
          <w:szCs w:val="18"/>
        </w:rPr>
        <w:t>建议使用IE5.5以上浏览器，分辨率1024*768</w:t>
      </w:r>
    </w:p>
    <w:p w:rsidR="00F84852" w:rsidRPr="00A05B9E" w:rsidRDefault="00F84852"/>
    <w:sectPr w:rsidR="00F84852" w:rsidRPr="00A05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E"/>
    <w:rsid w:val="00A05B9E"/>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0BFFD-F8D5-41A1-91EA-3145A37C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5B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5B9E"/>
    <w:rPr>
      <w:b/>
      <w:bCs/>
    </w:rPr>
  </w:style>
  <w:style w:type="paragraph" w:customStyle="1" w:styleId="p0">
    <w:name w:val="p0"/>
    <w:basedOn w:val="a"/>
    <w:rsid w:val="00A05B9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05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15337">
      <w:bodyDiv w:val="1"/>
      <w:marLeft w:val="0"/>
      <w:marRight w:val="0"/>
      <w:marTop w:val="0"/>
      <w:marBottom w:val="0"/>
      <w:divBdr>
        <w:top w:val="none" w:sz="0" w:space="0" w:color="auto"/>
        <w:left w:val="none" w:sz="0" w:space="0" w:color="auto"/>
        <w:bottom w:val="none" w:sz="0" w:space="0" w:color="auto"/>
        <w:right w:val="none" w:sz="0" w:space="0" w:color="auto"/>
      </w:divBdr>
      <w:divsChild>
        <w:div w:id="306789409">
          <w:marLeft w:val="0"/>
          <w:marRight w:val="0"/>
          <w:marTop w:val="150"/>
          <w:marBottom w:val="150"/>
          <w:divBdr>
            <w:top w:val="none" w:sz="0" w:space="0" w:color="auto"/>
            <w:left w:val="none" w:sz="0" w:space="0" w:color="auto"/>
            <w:bottom w:val="none" w:sz="0" w:space="0" w:color="auto"/>
            <w:right w:val="none" w:sz="0" w:space="0" w:color="auto"/>
          </w:divBdr>
        </w:div>
        <w:div w:id="2099472615">
          <w:marLeft w:val="0"/>
          <w:marRight w:val="0"/>
          <w:marTop w:val="0"/>
          <w:marBottom w:val="0"/>
          <w:divBdr>
            <w:top w:val="single" w:sz="6" w:space="8" w:color="B5B5B5"/>
            <w:left w:val="single" w:sz="6" w:space="0" w:color="B5B5B5"/>
            <w:bottom w:val="single" w:sz="6" w:space="8" w:color="B5B5B5"/>
            <w:right w:val="single" w:sz="6" w:space="0" w:color="B5B5B5"/>
          </w:divBdr>
          <w:divsChild>
            <w:div w:id="1774938011">
              <w:marLeft w:val="0"/>
              <w:marRight w:val="0"/>
              <w:marTop w:val="0"/>
              <w:marBottom w:val="0"/>
              <w:divBdr>
                <w:top w:val="none" w:sz="0" w:space="0" w:color="auto"/>
                <w:left w:val="none" w:sz="0" w:space="0" w:color="auto"/>
                <w:bottom w:val="none" w:sz="0" w:space="0" w:color="auto"/>
                <w:right w:val="none" w:sz="0" w:space="0" w:color="auto"/>
              </w:divBdr>
            </w:div>
            <w:div w:id="399061272">
              <w:marLeft w:val="0"/>
              <w:marRight w:val="0"/>
              <w:marTop w:val="0"/>
              <w:marBottom w:val="0"/>
              <w:divBdr>
                <w:top w:val="none" w:sz="0" w:space="0" w:color="auto"/>
                <w:left w:val="none" w:sz="0" w:space="0" w:color="auto"/>
                <w:bottom w:val="none" w:sz="0" w:space="0" w:color="auto"/>
                <w:right w:val="none" w:sz="0" w:space="0" w:color="auto"/>
              </w:divBdr>
              <w:divsChild>
                <w:div w:id="1564369490">
                  <w:marLeft w:val="0"/>
                  <w:marRight w:val="0"/>
                  <w:marTop w:val="0"/>
                  <w:marBottom w:val="0"/>
                  <w:divBdr>
                    <w:top w:val="none" w:sz="0" w:space="0" w:color="auto"/>
                    <w:left w:val="none" w:sz="0" w:space="0" w:color="auto"/>
                    <w:bottom w:val="none" w:sz="0" w:space="0" w:color="auto"/>
                    <w:right w:val="none" w:sz="0" w:space="0" w:color="auto"/>
                  </w:divBdr>
                </w:div>
              </w:divsChild>
            </w:div>
            <w:div w:id="1767073586">
              <w:marLeft w:val="0"/>
              <w:marRight w:val="0"/>
              <w:marTop w:val="120"/>
              <w:marBottom w:val="120"/>
              <w:divBdr>
                <w:top w:val="none" w:sz="0" w:space="0" w:color="auto"/>
                <w:left w:val="none" w:sz="0" w:space="0" w:color="auto"/>
                <w:bottom w:val="none" w:sz="0" w:space="0" w:color="auto"/>
                <w:right w:val="none" w:sz="0" w:space="0" w:color="auto"/>
              </w:divBdr>
            </w:div>
          </w:divsChild>
        </w:div>
        <w:div w:id="1578636919">
          <w:marLeft w:val="0"/>
          <w:marRight w:val="0"/>
          <w:marTop w:val="120"/>
          <w:marBottom w:val="0"/>
          <w:divBdr>
            <w:top w:val="none" w:sz="0" w:space="0" w:color="auto"/>
            <w:left w:val="none" w:sz="0" w:space="0" w:color="auto"/>
            <w:bottom w:val="none" w:sz="0" w:space="0" w:color="auto"/>
            <w:right w:val="none" w:sz="0" w:space="0" w:color="auto"/>
          </w:divBdr>
          <w:divsChild>
            <w:div w:id="113140258">
              <w:marLeft w:val="0"/>
              <w:marRight w:val="0"/>
              <w:marTop w:val="60"/>
              <w:marBottom w:val="0"/>
              <w:divBdr>
                <w:top w:val="none" w:sz="0" w:space="0" w:color="auto"/>
                <w:left w:val="none" w:sz="0" w:space="0" w:color="auto"/>
                <w:bottom w:val="none" w:sz="0" w:space="0" w:color="auto"/>
                <w:right w:val="none" w:sz="0" w:space="0" w:color="auto"/>
              </w:divBdr>
            </w:div>
            <w:div w:id="1716466802">
              <w:marLeft w:val="0"/>
              <w:marRight w:val="0"/>
              <w:marTop w:val="60"/>
              <w:marBottom w:val="0"/>
              <w:divBdr>
                <w:top w:val="none" w:sz="0" w:space="0" w:color="auto"/>
                <w:left w:val="none" w:sz="0" w:space="0" w:color="auto"/>
                <w:bottom w:val="none" w:sz="0" w:space="0" w:color="auto"/>
                <w:right w:val="none" w:sz="0" w:space="0" w:color="auto"/>
              </w:divBdr>
            </w:div>
            <w:div w:id="51123513">
              <w:marLeft w:val="0"/>
              <w:marRight w:val="0"/>
              <w:marTop w:val="60"/>
              <w:marBottom w:val="0"/>
              <w:divBdr>
                <w:top w:val="none" w:sz="0" w:space="0" w:color="auto"/>
                <w:left w:val="none" w:sz="0" w:space="0" w:color="auto"/>
                <w:bottom w:val="none" w:sz="0" w:space="0" w:color="auto"/>
                <w:right w:val="none" w:sz="0" w:space="0" w:color="auto"/>
              </w:divBdr>
            </w:div>
            <w:div w:id="10581642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3/t20190306_35179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2020-02-14T15:21:00Z</dcterms:created>
  <dcterms:modified xsi:type="dcterms:W3CDTF">2020-02-14T15:21:00Z</dcterms:modified>
</cp:coreProperties>
</file>