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4BFB" w14:textId="77777777" w:rsidR="00C461A2" w:rsidRPr="00C461A2" w:rsidRDefault="00C461A2" w:rsidP="00C461A2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461A2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BD8F5B1" wp14:editId="6D563C0C">
            <wp:extent cx="5274310" cy="57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23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0"/>
      </w:tblGrid>
      <w:tr w:rsidR="00C461A2" w:rsidRPr="00C461A2" w14:paraId="7A4219EF" w14:textId="77777777" w:rsidTr="00C461A2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1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6585"/>
            </w:tblGrid>
            <w:tr w:rsidR="00C461A2" w:rsidRPr="00C461A2" w14:paraId="2B63C261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9CC1A3" w14:textId="77777777" w:rsidR="00C461A2" w:rsidRPr="00C461A2" w:rsidRDefault="00C461A2" w:rsidP="00C461A2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686868"/>
                      <w:kern w:val="0"/>
                      <w:sz w:val="18"/>
                      <w:szCs w:val="18"/>
                    </w:rPr>
                  </w:pPr>
                  <w:r w:rsidRPr="00C461A2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索 引 号:</w:t>
                  </w:r>
                  <w:r w:rsidRPr="00C461A2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40000895X/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BD61F4" w14:textId="77777777" w:rsidR="00C461A2" w:rsidRPr="00C461A2" w:rsidRDefault="00C461A2" w:rsidP="00C461A2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C461A2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分类:</w:t>
                  </w:r>
                  <w:r w:rsidRPr="00C461A2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行政处罚 ; 行政处罚决定</w:t>
                  </w:r>
                </w:p>
              </w:tc>
            </w:tr>
          </w:tbl>
          <w:p w14:paraId="2D24DD14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C461A2" w:rsidRPr="00C461A2" w14:paraId="56BD2F67" w14:textId="77777777" w:rsidTr="00C461A2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1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6585"/>
            </w:tblGrid>
            <w:tr w:rsidR="00C461A2" w:rsidRPr="00C461A2" w14:paraId="5CE2B7E5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E9E593" w14:textId="77777777" w:rsidR="00C461A2" w:rsidRPr="00C461A2" w:rsidRDefault="00C461A2" w:rsidP="00C461A2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C461A2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发布机构:</w:t>
                  </w:r>
                  <w:r w:rsidRPr="00C461A2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证监会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192D11" w14:textId="77777777" w:rsidR="00C461A2" w:rsidRPr="00C461A2" w:rsidRDefault="00C461A2" w:rsidP="00C461A2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C461A2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发文日期:</w:t>
                  </w:r>
                  <w:r w:rsidRPr="00C461A2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2019年12月12日</w:t>
                  </w:r>
                </w:p>
              </w:tc>
            </w:tr>
          </w:tbl>
          <w:p w14:paraId="00B5BA6A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  <w:tr w:rsidR="00C461A2" w:rsidRPr="00C461A2" w14:paraId="7D1CFC5F" w14:textId="77777777" w:rsidTr="00C461A2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0536B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  <w:r w:rsidRPr="00C461A2">
              <w:rPr>
                <w:rFonts w:ascii="宋体" w:eastAsia="宋体" w:hAnsi="宋体" w:cs="宋体"/>
                <w:b/>
                <w:bCs/>
                <w:color w:val="686868"/>
                <w:kern w:val="0"/>
                <w:sz w:val="18"/>
                <w:szCs w:val="18"/>
              </w:rPr>
              <w:t>名　　称:</w:t>
            </w:r>
            <w:r w:rsidRPr="00C461A2"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  <w:t> 中国证监会行政处罚决定书（王萍）</w:t>
            </w:r>
          </w:p>
        </w:tc>
      </w:tr>
      <w:tr w:rsidR="00C461A2" w:rsidRPr="00C461A2" w14:paraId="7CF91526" w14:textId="77777777" w:rsidTr="00C461A2">
        <w:trPr>
          <w:tblCellSpacing w:w="0" w:type="dxa"/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31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6585"/>
            </w:tblGrid>
            <w:tr w:rsidR="00C461A2" w:rsidRPr="00C461A2" w14:paraId="3546D810" w14:textId="77777777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0AB3CF" w14:textId="77777777" w:rsidR="00C461A2" w:rsidRPr="00C461A2" w:rsidRDefault="00C461A2" w:rsidP="00C461A2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C461A2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文　　号:</w:t>
                  </w:r>
                  <w:r w:rsidRPr="00C461A2"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  <w:t> 〔2019〕146号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A0EA3D" w14:textId="77777777" w:rsidR="00C461A2" w:rsidRPr="00C461A2" w:rsidRDefault="00C461A2" w:rsidP="00C461A2">
                  <w:pPr>
                    <w:widowControl/>
                    <w:jc w:val="left"/>
                    <w:rPr>
                      <w:rFonts w:ascii="宋体" w:eastAsia="宋体" w:hAnsi="宋体" w:cs="宋体"/>
                      <w:color w:val="686868"/>
                      <w:kern w:val="0"/>
                      <w:sz w:val="18"/>
                      <w:szCs w:val="18"/>
                    </w:rPr>
                  </w:pPr>
                  <w:r w:rsidRPr="00C461A2">
                    <w:rPr>
                      <w:rFonts w:ascii="宋体" w:eastAsia="宋体" w:hAnsi="宋体" w:cs="宋体"/>
                      <w:b/>
                      <w:bCs/>
                      <w:color w:val="686868"/>
                      <w:kern w:val="0"/>
                      <w:sz w:val="18"/>
                      <w:szCs w:val="18"/>
                    </w:rPr>
                    <w:t>主 题 词:</w:t>
                  </w:r>
                </w:p>
              </w:tc>
            </w:tr>
          </w:tbl>
          <w:p w14:paraId="79DBB699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/>
                <w:color w:val="686868"/>
                <w:kern w:val="0"/>
                <w:sz w:val="18"/>
                <w:szCs w:val="18"/>
              </w:rPr>
            </w:pPr>
          </w:p>
        </w:tc>
      </w:tr>
    </w:tbl>
    <w:p w14:paraId="7AAD3F86" w14:textId="77777777" w:rsidR="00C461A2" w:rsidRPr="00C461A2" w:rsidRDefault="00C461A2" w:rsidP="00C461A2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461A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object w:dxaOrig="1440" w:dyaOrig="1440" w14:anchorId="204A9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5" o:title=""/>
          </v:shape>
          <w:control r:id="rId6" w:name="对象 2" w:shapeid="_x0000_i1026"/>
        </w:object>
      </w:r>
    </w:p>
    <w:p w14:paraId="636AE719" w14:textId="77777777" w:rsidR="00C461A2" w:rsidRPr="00C461A2" w:rsidRDefault="00C461A2" w:rsidP="00C461A2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461A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C461A2">
        <w:rPr>
          <w:rFonts w:ascii="黑体" w:eastAsia="黑体" w:hAnsi="黑体" w:cs="宋体" w:hint="eastAsia"/>
          <w:b/>
          <w:bCs/>
          <w:color w:val="FF0000"/>
          <w:kern w:val="0"/>
          <w:sz w:val="36"/>
          <w:szCs w:val="36"/>
        </w:rPr>
        <w:t>中国证监会行政处罚决定书（王萍）</w:t>
      </w:r>
    </w:p>
    <w:p w14:paraId="173087D2" w14:textId="77777777" w:rsidR="00C461A2" w:rsidRPr="00C461A2" w:rsidRDefault="00C461A2" w:rsidP="00C461A2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〔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2019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〕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146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号</w:t>
      </w:r>
    </w:p>
    <w:p w14:paraId="3BD73FAF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2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Calibri" w:eastAsia="楷体" w:hAnsi="Calibri" w:cs="Calibri"/>
          <w:b/>
          <w:bCs/>
          <w:color w:val="000000"/>
          <w:kern w:val="0"/>
          <w:sz w:val="24"/>
          <w:szCs w:val="24"/>
        </w:rPr>
        <w:t> </w:t>
      </w:r>
    </w:p>
    <w:p w14:paraId="4BB2DF7C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当事人：王萍，女，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1979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10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月出生，住址：北京市朝阳区四季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星河路星河湾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小区。</w:t>
      </w:r>
    </w:p>
    <w:p w14:paraId="283479C1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依据《中华人民共和国证券法》（以下简称《证券法》）的有关规定，我会依法对王萍内幕交易深圳市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股份有限公司（以下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简称汇顶科技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）股票案进行了调查、审理，并依法向当事人告知了做出行政处罚的事实、理由、依据及当事人依法享有的权利。应当事人的申请，我会举行了听证，听取了当事人的陈述和申辩。本案现已调查、审理终结。</w:t>
      </w:r>
    </w:p>
    <w:p w14:paraId="002FB590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经查明，王萍存在以下违法事实：</w:t>
      </w:r>
    </w:p>
    <w:p w14:paraId="4154FDA0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360" w:hanging="72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一、</w:t>
      </w:r>
      <w:r w:rsidRPr="00C461A2">
        <w:rPr>
          <w:rFonts w:ascii="Calibri" w:eastAsia="楷体" w:hAnsi="Calibri" w:cs="Calibri"/>
          <w:color w:val="000000"/>
          <w:kern w:val="0"/>
          <w:sz w:val="30"/>
          <w:szCs w:val="30"/>
        </w:rPr>
        <w:t> 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内幕信息形成与公开过程</w:t>
      </w:r>
    </w:p>
    <w:p w14:paraId="7492B253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42" w:firstLine="54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年10月17日，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6名原始股东的限售股解禁。为避免解禁后股东无序减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持造成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股价波动，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汇顶科技董秘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王某根据董事长张某的指示，自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年6月左右开始征询股东减持意愿和减持方式，先后了解到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深圳市汇信科技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发展有限公司（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系汇顶科技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员工持股平台，以下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简称汇信投资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）、深圳市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汇持科技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发展有限公司（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系汇顶科技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员工持股平台，以下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简称汇持投资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）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及汇发国际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（香港）有限公司（以下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简称汇发国际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）均有减持意愿，于是开始统筹安排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解禁股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减持工作，并于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8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月联系国家集成电路产业投资基金（以下简称大基金）的管理人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华芯投资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管理有限责任公司（以下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简称华芯投资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）的相关人员，就大基金受让汇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顶科技减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持股份的事项进行沟通。</w:t>
      </w:r>
    </w:p>
    <w:p w14:paraId="3AD00227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42" w:firstLine="54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lastRenderedPageBreak/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年9月5日晚，张某、王某与华芯投资副总裁高某涛等在深圳会面，双方初步确定合作的前提条件为大基金受让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5%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以上汇顶科技股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权且有董事席位，投资规模尽量在30亿元以内，同时由张某增持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1%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。9月13日，张某、王某与高某涛等人在成都商定了股权减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持建议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方案，内容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为汇发国际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、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汇信投资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、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汇持投资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向大基金协议转让合计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6.64%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的股份，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汇发国际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向张某大宗交易转让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1%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的股份。</w:t>
      </w:r>
    </w:p>
    <w:p w14:paraId="58EF7080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42" w:firstLine="54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9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月18日，张某、王某到北京与华芯投资总裁路某见面，明确项目继续推进，华芯投资开始准备立项。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9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月26日至9月28日，华芯投资将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项目受理入库并进行立项签报。9月30日至10月中旬，华芯投资选聘中介机构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赴汇顶科技开展尽调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工作。</w:t>
      </w:r>
    </w:p>
    <w:p w14:paraId="74BBD2A3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42" w:firstLine="54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10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月中旬，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汇发国际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母公司联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发科技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股份有限公司、华芯投资、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三方就股权转让条款进行磋商，并于10月18日前确定大基金采取协议转让方式分别受让汇发国际、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汇信投资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所持汇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股份22,712,917股（占比5%）、7,487,083股（占比1.65%），同时，张某通过大宗交易方式受让汇信投资、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汇持投资所持汇顶科技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合计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1%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股份。</w:t>
      </w:r>
    </w:p>
    <w:p w14:paraId="648CA5E2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42" w:firstLine="54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11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月21日，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汇发国际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、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汇信投资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与大基金三方确认以当日收盘价104.1元的90%即93.69元为成交价，并于次日下午签订《股权转让协议》。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11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月22日晚上发布股东权益变动相关公告。</w:t>
      </w:r>
    </w:p>
    <w:p w14:paraId="02C4B3E2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42" w:firstLine="54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综上，大基金受让汇发国际、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汇信投资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所持的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5%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、1.65%股权，属于《证券法》第六十七条第二款第八项规定的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持有公司百分之五以上股份的股东或实际控制人，其持有股份或控制公司的情况发生较大变化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事项，在公开前属于内幕信息。内幕信息敏感期为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年9月13日至2017年11月22日。张某、王某、高某涛等为内幕信息知情人。</w:t>
      </w:r>
    </w:p>
    <w:p w14:paraId="4F35A457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left="1360" w:hanging="72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二、</w:t>
      </w:r>
      <w:r w:rsidRPr="00C461A2">
        <w:rPr>
          <w:rFonts w:ascii="Calibri" w:eastAsia="楷体" w:hAnsi="Calibri" w:cs="Calibri"/>
          <w:color w:val="000000"/>
          <w:kern w:val="0"/>
          <w:sz w:val="30"/>
          <w:szCs w:val="30"/>
        </w:rPr>
        <w:t> 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王萍内幕交易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</w:p>
    <w:p w14:paraId="57EE8322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内幕信息敏感期内，王萍使用本人账户大量买入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，期间无卖出，获利情况为亏损。具体情况如下：</w:t>
      </w:r>
    </w:p>
    <w:p w14:paraId="7429A4E9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（一）账户交易情况</w:t>
      </w:r>
    </w:p>
    <w:p w14:paraId="7CA87E9E" w14:textId="77777777" w:rsidR="00C461A2" w:rsidRPr="00C461A2" w:rsidRDefault="00C461A2" w:rsidP="00C461A2">
      <w:pPr>
        <w:widowControl/>
        <w:shd w:val="clear" w:color="auto" w:fill="FFFFFF"/>
        <w:spacing w:line="360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内幕信息敏感期内，王萍使用其开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立于国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信证券北京朝阳北路证券营业部、海通证券北京光华路证券营业部、申万宏源西部证券北京东四环中路证券营业部的三个账户，于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年9月22日至11月16日买入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合计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451,746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股，成交金额46,967,480.63元，期间无卖出，经计算亏损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396.24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万元。</w:t>
      </w:r>
    </w:p>
    <w:p w14:paraId="670E7CE4" w14:textId="77777777" w:rsidR="00C461A2" w:rsidRPr="00C461A2" w:rsidRDefault="00C461A2" w:rsidP="00C461A2">
      <w:pPr>
        <w:widowControl/>
        <w:shd w:val="clear" w:color="auto" w:fill="FFFFFF"/>
        <w:spacing w:line="360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（二）账户资金情况</w:t>
      </w:r>
    </w:p>
    <w:p w14:paraId="31DA1CA8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涉案账户资金主要来源于王萍家庭投资、理财所得。内幕信息敏感期内，王萍于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年9月22日、9月25日、10月23日、11月15日，分别向其证券账户转入150万元、200万元、150万元、80万元。</w:t>
      </w:r>
    </w:p>
    <w:p w14:paraId="178A2D1B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内幕信息敏感期内，王萍买入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的资金主要来源于上述资金转入，卖出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栋梁新材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华信国际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泰禾光电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等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8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只股票所得以及约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定购回式交易所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获融资。</w:t>
      </w:r>
    </w:p>
    <w:p w14:paraId="2AF110A5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（三）账户交易特征</w:t>
      </w:r>
    </w:p>
    <w:p w14:paraId="7D184761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内幕信息敏感期内，王萍系首次交易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，且在此期间除申购新股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外仅买入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该股票，同时存在卖出其他股票买入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及新增资金、融资买入等情形，其成交金额较其他股票明显放大，买入意愿强烈。</w:t>
      </w:r>
    </w:p>
    <w:p w14:paraId="27775258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（四）账户交易动机</w:t>
      </w:r>
    </w:p>
    <w:p w14:paraId="279EC86C" w14:textId="77777777" w:rsidR="00C461A2" w:rsidRPr="00C461A2" w:rsidRDefault="00C461A2" w:rsidP="00C461A2">
      <w:pPr>
        <w:widowControl/>
        <w:shd w:val="clear" w:color="auto" w:fill="FFFFFF"/>
        <w:spacing w:line="360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根据王萍的询问笔录，其交易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的原因为：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”PE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倍数比较低且为次新股，该股股价横盘时间很长；比较看好芯片行业；大盘处于低位，觉得2017年大盘不会有大的风险，且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将迎来解禁，股价可能会涨。</w:t>
      </w:r>
    </w:p>
    <w:p w14:paraId="117B9188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（五）王萍与高某涛联络、接触情况</w:t>
      </w:r>
    </w:p>
    <w:p w14:paraId="4C8ACE05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高某涛作为华芯投资副总裁，全程参与了大基金受让汇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股权事项的筹划、决策、执行等阶段的相关工作，是本案内幕信息知情人，知悉时间为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年9月13日。</w:t>
      </w:r>
    </w:p>
    <w:p w14:paraId="040E77D4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3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王萍曾在工业和信息化部软件与集成电路促进中心工作，期间与高某涛曾为直接上下级关系。离职后双方保持密切联系，经常就生活、工作事宜沟通交流。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年9月至12月，因大基金拟入股苏州国芯科技有限公司（以下简称苏州国芯）事项，王萍作为中间介绍人与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苏州国芯的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第二大股东天津泰达科技投资股份有限公司（以下简称泰达科技）进行沟通，同时向高某涛报告进展情况，并于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年11月12日与高某涛一起去天津与泰达科技相关人员面谈。</w:t>
      </w:r>
    </w:p>
    <w:p w14:paraId="3A17A39B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3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内幕信息敏感期内，王萍与高某涛有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9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次通话和1次短信联络，其中9月15日、16日、17日通话4次，11月6日、8日、12日、16日、17日通话5次，11月18日短信联络1次。</w:t>
      </w:r>
    </w:p>
    <w:p w14:paraId="37EC55DD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3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以上事实，有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公告、相关情况说明、相关证券账户资料、银行账户资料、询问笔录、通讯记录、电子设备取证信息等证据证明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,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足以认定。</w:t>
      </w:r>
    </w:p>
    <w:p w14:paraId="00A6CFFD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3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我会认为，王萍在内幕信息敏感期内与内幕信息知情人员联络、接触，大量买入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且仅买入该只股票，买入意愿强烈，其证券交易活动与内幕信息高度吻合，交易行为明显异常且无正当理由或正当信息来源。王萍的上述行为，违反了《证券法》第七十三条、七十六条第一款的规定，构成《证券法》第二百零二条所述的内幕交易行为。</w:t>
      </w:r>
    </w:p>
    <w:p w14:paraId="1A85C214" w14:textId="77777777" w:rsidR="00C461A2" w:rsidRPr="00C461A2" w:rsidRDefault="00C461A2" w:rsidP="00C461A2">
      <w:pPr>
        <w:widowControl/>
        <w:shd w:val="clear" w:color="auto" w:fill="FFFFFF"/>
        <w:spacing w:line="360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王萍在听证中提出其未实施内幕交易，主要申辩意见如下：一是当事人于内幕信息敏感期内交易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并非基于内幕信息，而是因为对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汇顶科技屏内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指纹识别技术看好，并在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年9月13日观看苹果新品发布会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后判断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全面屏手机将会普及，据此认为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将因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其屏内指纹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识别技术获得业绩的爆发性增长，以及考虑公司2017年中期业绩增长，2017年10月原始股将解禁，股价可能上涨等等利好因素。二是当事人倾向于中长期价值投资，认准后投入资金较多，且不断追加，风险偏好较高，且对非常看好的股票会重仓持有，如在2015年三季度、2017年三季度分别成为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安彩高科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泰禾光电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前十大流通股股东。当事人交易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的手法与其过往交易股票的风格一致，不存在明显异常。三是当事人在内幕信息敏感期与高某涛的联系非常正常，主要围绕大基金入股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苏州国芯等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投资事项，未涉及内幕信息。</w:t>
      </w:r>
    </w:p>
    <w:p w14:paraId="18733058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经复核，我会认为：</w:t>
      </w:r>
    </w:p>
    <w:p w14:paraId="16124BFE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第一，关于涉案交易决策依据问题。首先，当事人在听证中关于交易决策过程、依据的解释与其在调查中的相关陈述有较大差异，其真实性存疑。其次，即便当事人所述的对公司基本面与价格的分析与其交易决策相关，前述理由亦不足以对其在内幕信息敏感期内大量、单一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的交易理由构成完全的、令人信服的说明。</w:t>
      </w:r>
    </w:p>
    <w:p w14:paraId="56FA0AF4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第二，关于涉案交易的异常性问题。根据当事人的交易记录，其在集中交易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安彩高科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时，于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2015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年6月至11月合计买入金额为1600多万元，其最高持股时所持该股票市值占账户资产比（以2015年11月26日收盘价计算）接近80%；其在集中交易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泰和光电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时，于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2017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年4月至8月合计买入金额为1600多万元，其最高持股时所持该股票市值占账户资产比（以2017年8月18日收盘价计算）接近70%。而本案中，当事人于2017年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9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月22日至11月16日期间卖出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安彩高科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泰禾光电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杭州解百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等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8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只股票，全部用于买入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，买入金额合计高达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4696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万余元，且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11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月16日其持有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市值占账户总资产比例接近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100%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。由此可见，当事人在涉案期间买入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“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汇顶科技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”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的金额及资产占比均明显放大，且其在内幕信息敏感期除申购新股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外仅买入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该股票，交易活动与内幕信息高度吻合，当事人关于其交易习惯的解释不足于否定涉案交易行为的明显异常。</w:t>
      </w:r>
    </w:p>
    <w:p w14:paraId="51831343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第三，关于当事人有无获取内幕信息问题。王萍曾与高某涛共事，联系较密切，在内幕信息敏感期内存在多次联络、接触，具有获知内幕信息的可能性。王萍主张其在涉案期间与高某涛的联系主要是为了促进大基金、泰达科技之间的合作以及关于一级市场投资方面的交流，并提供了相关证人证言，但前述证据并不足以证明当事人在联络、接触期间未发生内幕信息传递。</w:t>
      </w:r>
    </w:p>
    <w:p w14:paraId="2C86C09E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综上，我会对王萍的申辩意见不予采纳。</w:t>
      </w:r>
    </w:p>
    <w:p w14:paraId="4898279E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根据当事人违法行为的事实、性质、情节与社会危害程度，依据《证券法》第二百零二条的规定，我会决定：对王萍处以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55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万元罚款。</w:t>
      </w:r>
    </w:p>
    <w:p w14:paraId="1034B769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63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上述当事人应自收到本处罚决定书之日起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15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日内，将罚款汇交中国证券监督管理委员会（财政</w:t>
      </w:r>
      <w:proofErr w:type="gramStart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汇缴专户</w:t>
      </w:r>
      <w:proofErr w:type="gramEnd"/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），开户银行：中信银行北京分行营业部，账号：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7111010189800000162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，由该行直接上缴国库，并将注有当事人名称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lastRenderedPageBreak/>
        <w:t>的付款凭证复印件送中国证券监督管理委员会稽查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516CF6E8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5C491239" w14:textId="77777777" w:rsidR="00C461A2" w:rsidRPr="00C461A2" w:rsidRDefault="00C461A2" w:rsidP="00C461A2">
      <w:pPr>
        <w:widowControl/>
        <w:shd w:val="clear" w:color="auto" w:fill="FFFFFF"/>
        <w:spacing w:line="408" w:lineRule="atLeast"/>
        <w:ind w:firstLine="600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7A4CFCC7" w14:textId="77777777" w:rsidR="00C461A2" w:rsidRPr="00C461A2" w:rsidRDefault="00C461A2" w:rsidP="00C461A2">
      <w:pPr>
        <w:widowControl/>
        <w:shd w:val="clear" w:color="auto" w:fill="FFFFFF"/>
        <w:spacing w:line="408" w:lineRule="atLeast"/>
        <w:jc w:val="center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 xml:space="preserve">　　　　　　　　　　　　　　　　　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中国证监会</w:t>
      </w:r>
    </w:p>
    <w:p w14:paraId="768A69F5" w14:textId="77777777" w:rsidR="00C461A2" w:rsidRPr="00C461A2" w:rsidRDefault="00C461A2" w:rsidP="00C461A2">
      <w:pPr>
        <w:widowControl/>
        <w:shd w:val="clear" w:color="auto" w:fill="FFFFFF"/>
        <w:spacing w:line="408" w:lineRule="atLeast"/>
        <w:jc w:val="center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 xml:space="preserve">　　　　　　　　　　　　　　　　　2019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年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12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月</w:t>
      </w:r>
      <w:r w:rsidRPr="00C461A2">
        <w:rPr>
          <w:rFonts w:ascii="楷体" w:eastAsia="楷体" w:hAnsi="楷体" w:cs="宋体" w:hint="eastAsia"/>
          <w:color w:val="000000"/>
          <w:kern w:val="0"/>
          <w:sz w:val="30"/>
          <w:szCs w:val="30"/>
        </w:rPr>
        <w:t>12</w:t>
      </w:r>
      <w:r w:rsidRPr="00C461A2"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日</w:t>
      </w:r>
    </w:p>
    <w:p w14:paraId="370FCC06" w14:textId="77777777" w:rsidR="00C461A2" w:rsidRPr="00C461A2" w:rsidRDefault="00C461A2" w:rsidP="00C461A2">
      <w:pPr>
        <w:widowControl/>
        <w:shd w:val="clear" w:color="auto" w:fill="FFFFFF"/>
        <w:spacing w:line="408" w:lineRule="atLeast"/>
        <w:jc w:val="left"/>
        <w:rPr>
          <w:rFonts w:ascii="楷体" w:eastAsia="楷体" w:hAnsi="楷体" w:cs="宋体" w:hint="eastAsia"/>
          <w:color w:val="000000"/>
          <w:kern w:val="0"/>
          <w:sz w:val="24"/>
          <w:szCs w:val="24"/>
        </w:rPr>
      </w:pPr>
      <w:r w:rsidRPr="00C461A2">
        <w:rPr>
          <w:rFonts w:ascii="Calibri" w:eastAsia="楷体" w:hAnsi="Calibri" w:cs="Calibri"/>
          <w:color w:val="000000"/>
          <w:kern w:val="0"/>
          <w:sz w:val="24"/>
          <w:szCs w:val="24"/>
        </w:rPr>
        <w:t> </w:t>
      </w:r>
    </w:p>
    <w:p w14:paraId="7412CAEF" w14:textId="77777777" w:rsidR="00C461A2" w:rsidRPr="00C461A2" w:rsidRDefault="00C461A2" w:rsidP="00C461A2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230"/>
        <w:gridCol w:w="1230"/>
        <w:gridCol w:w="1245"/>
      </w:tblGrid>
      <w:tr w:rsidR="00C461A2" w:rsidRPr="00C461A2" w14:paraId="08561B31" w14:textId="77777777" w:rsidTr="00C461A2">
        <w:trPr>
          <w:tblCellSpacing w:w="15" w:type="dxa"/>
          <w:jc w:val="center"/>
        </w:trPr>
        <w:tc>
          <w:tcPr>
            <w:tcW w:w="900" w:type="dxa"/>
            <w:vAlign w:val="center"/>
            <w:hideMark/>
          </w:tcPr>
          <w:p w14:paraId="10001AFA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461A2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  <w:tc>
          <w:tcPr>
            <w:tcW w:w="1200" w:type="dxa"/>
            <w:vAlign w:val="center"/>
            <w:hideMark/>
          </w:tcPr>
          <w:p w14:paraId="6F17AEE0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461A2"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6813A656" wp14:editId="54E10CCE">
                  <wp:extent cx="666750" cy="171450"/>
                  <wp:effectExtent l="0" t="0" r="0" b="0"/>
                  <wp:docPr id="3" name="图片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14:paraId="7A9CC135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461A2"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58B51353" wp14:editId="35B344D9">
                  <wp:extent cx="666750" cy="171450"/>
                  <wp:effectExtent l="0" t="0" r="0" b="0"/>
                  <wp:docPr id="2" name="图片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vAlign w:val="center"/>
            <w:hideMark/>
          </w:tcPr>
          <w:p w14:paraId="6AACF594" w14:textId="77777777" w:rsidR="00C461A2" w:rsidRPr="00C461A2" w:rsidRDefault="00C461A2" w:rsidP="00C461A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461A2"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39650FAD" wp14:editId="75172754">
                  <wp:extent cx="666750" cy="171450"/>
                  <wp:effectExtent l="0" t="0" r="0" b="0"/>
                  <wp:docPr id="1" name="图片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DD3E8" w14:textId="77777777" w:rsidR="00C461A2" w:rsidRPr="00C461A2" w:rsidRDefault="00C461A2" w:rsidP="00C461A2">
      <w:pPr>
        <w:widowControl/>
        <w:jc w:val="center"/>
        <w:rPr>
          <w:rFonts w:ascii="微软雅黑" w:eastAsia="微软雅黑" w:hAnsi="微软雅黑" w:cs="宋体"/>
          <w:color w:val="515151"/>
          <w:kern w:val="0"/>
          <w:sz w:val="18"/>
          <w:szCs w:val="18"/>
        </w:rPr>
      </w:pPr>
      <w:hyperlink r:id="rId11" w:tgtFrame="_blank" w:history="1">
        <w:r w:rsidRPr="00C461A2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关于我们</w:t>
        </w:r>
      </w:hyperlink>
      <w:r w:rsidRPr="00C461A2"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  <w:t> - </w:t>
      </w:r>
      <w:hyperlink r:id="rId12" w:tgtFrame="_blank" w:history="1">
        <w:r w:rsidRPr="00C461A2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法律声明</w:t>
        </w:r>
      </w:hyperlink>
      <w:r w:rsidRPr="00C461A2"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  <w:t> - </w:t>
      </w:r>
      <w:hyperlink r:id="rId13" w:tgtFrame="_blank" w:history="1">
        <w:r w:rsidRPr="00C461A2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联系我们</w:t>
        </w:r>
      </w:hyperlink>
    </w:p>
    <w:p w14:paraId="2C975276" w14:textId="77777777" w:rsidR="00C461A2" w:rsidRPr="00C461A2" w:rsidRDefault="00C461A2" w:rsidP="00C461A2">
      <w:pPr>
        <w:widowControl/>
        <w:jc w:val="center"/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</w:pPr>
      <w:r w:rsidRPr="00C461A2"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  <w:t>版权所有：中国证券监督管理委员会 京ICP备 05035542号</w:t>
      </w:r>
    </w:p>
    <w:p w14:paraId="444330EA" w14:textId="77777777" w:rsidR="00C461A2" w:rsidRPr="00C461A2" w:rsidRDefault="00C461A2" w:rsidP="00C461A2">
      <w:pPr>
        <w:widowControl/>
        <w:jc w:val="center"/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</w:pPr>
      <w:r w:rsidRPr="00C461A2"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  <w:t>地址：北京市西城区金融大街19号富凯大厦A座 邮编：100033</w:t>
      </w:r>
    </w:p>
    <w:p w14:paraId="60B855C0" w14:textId="77777777" w:rsidR="00C461A2" w:rsidRPr="00C461A2" w:rsidRDefault="00C461A2" w:rsidP="00C461A2">
      <w:pPr>
        <w:widowControl/>
        <w:jc w:val="center"/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</w:pPr>
      <w:r w:rsidRPr="00C461A2">
        <w:rPr>
          <w:rFonts w:ascii="微软雅黑" w:eastAsia="微软雅黑" w:hAnsi="微软雅黑" w:cs="宋体" w:hint="eastAsia"/>
          <w:color w:val="515151"/>
          <w:kern w:val="0"/>
          <w:sz w:val="18"/>
          <w:szCs w:val="18"/>
        </w:rPr>
        <w:t>建议使用IE5.5以上浏览器，分辨率1024*768</w:t>
      </w:r>
    </w:p>
    <w:p w14:paraId="1ABE914D" w14:textId="77777777" w:rsidR="005E4CE5" w:rsidRPr="00C461A2" w:rsidRDefault="005E4CE5"/>
    <w:sectPr w:rsidR="005E4CE5" w:rsidRPr="00C4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A2"/>
    <w:rsid w:val="005E4CE5"/>
    <w:rsid w:val="00C4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514A"/>
  <w15:chartTrackingRefBased/>
  <w15:docId w15:val="{AD6DB11E-1456-45A4-B559-5D5938A1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61A2"/>
    <w:rPr>
      <w:b/>
      <w:bCs/>
    </w:rPr>
  </w:style>
  <w:style w:type="character" w:styleId="a5">
    <w:name w:val="Hyperlink"/>
    <w:basedOn w:val="a0"/>
    <w:uiPriority w:val="99"/>
    <w:semiHidden/>
    <w:unhideWhenUsed/>
    <w:rsid w:val="00C46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368">
          <w:marLeft w:val="0"/>
          <w:marRight w:val="0"/>
          <w:marTop w:val="0"/>
          <w:marBottom w:val="0"/>
          <w:divBdr>
            <w:top w:val="single" w:sz="6" w:space="8" w:color="B5B5B5"/>
            <w:left w:val="single" w:sz="6" w:space="0" w:color="B5B5B5"/>
            <w:bottom w:val="single" w:sz="6" w:space="8" w:color="B5B5B5"/>
            <w:right w:val="single" w:sz="6" w:space="0" w:color="B5B5B5"/>
          </w:divBdr>
          <w:divsChild>
            <w:div w:id="144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7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2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csrc.gov.cn/pub/newsite/fzlm/lxw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rc.gov.cn/pub/zjhpublic/G00306212/202001/t20200113_369609.htm?keywords=%E5%86%85%E5%B9%95" TargetMode="External"/><Relationship Id="rId12" Type="http://schemas.openxmlformats.org/officeDocument/2006/relationships/hyperlink" Target="http://www.csrc.gov.cn/pub/newsite/fzlm/fls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://www.csrc.gov.cn/pub/newsite/fzlm/gywm/" TargetMode="External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image" Target="media/image1.jpeg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856F961-340A-11D0-A96B-00C04FD705A2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2021-08-29T14:29:00Z</dcterms:created>
  <dcterms:modified xsi:type="dcterms:W3CDTF">2021-08-29T14:29:00Z</dcterms:modified>
</cp:coreProperties>
</file>