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7CC" w:rsidRPr="001257CC" w:rsidRDefault="001257CC" w:rsidP="001257CC">
      <w:pPr>
        <w:widowControl/>
        <w:jc w:val="center"/>
        <w:rPr>
          <w:rFonts w:ascii="微软雅黑" w:eastAsia="微软雅黑" w:hAnsi="微软雅黑" w:cs="宋体"/>
          <w:color w:val="000000"/>
          <w:kern w:val="0"/>
          <w:sz w:val="18"/>
          <w:szCs w:val="18"/>
        </w:rPr>
      </w:pPr>
      <w:r w:rsidRPr="001257C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1257CC" w:rsidRPr="001257CC" w:rsidTr="001257C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257CC" w:rsidRPr="001257CC">
              <w:trPr>
                <w:tblCellSpacing w:w="0" w:type="dxa"/>
              </w:trPr>
              <w:tc>
                <w:tcPr>
                  <w:tcW w:w="2500" w:type="pct"/>
                  <w:tcMar>
                    <w:top w:w="30" w:type="dxa"/>
                    <w:left w:w="30" w:type="dxa"/>
                    <w:bottom w:w="30" w:type="dxa"/>
                    <w:right w:w="30" w:type="dxa"/>
                  </w:tcMar>
                  <w:hideMark/>
                </w:tcPr>
                <w:p w:rsidR="001257CC" w:rsidRPr="001257CC" w:rsidRDefault="001257CC" w:rsidP="001257CC">
                  <w:pPr>
                    <w:widowControl/>
                    <w:jc w:val="left"/>
                    <w:rPr>
                      <w:rFonts w:ascii="宋体" w:eastAsia="宋体" w:hAnsi="宋体" w:cs="宋体" w:hint="eastAsia"/>
                      <w:color w:val="686868"/>
                      <w:kern w:val="0"/>
                      <w:sz w:val="18"/>
                      <w:szCs w:val="18"/>
                    </w:rPr>
                  </w:pPr>
                  <w:r w:rsidRPr="001257CC">
                    <w:rPr>
                      <w:rFonts w:ascii="宋体" w:eastAsia="宋体" w:hAnsi="宋体" w:cs="宋体"/>
                      <w:b/>
                      <w:bCs/>
                      <w:color w:val="686868"/>
                      <w:kern w:val="0"/>
                      <w:sz w:val="18"/>
                      <w:szCs w:val="18"/>
                    </w:rPr>
                    <w:t>索 引 号:</w:t>
                  </w:r>
                  <w:r w:rsidRPr="001257C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1257CC" w:rsidRPr="001257CC" w:rsidRDefault="001257CC" w:rsidP="001257CC">
                  <w:pPr>
                    <w:widowControl/>
                    <w:jc w:val="left"/>
                    <w:rPr>
                      <w:rFonts w:ascii="宋体" w:eastAsia="宋体" w:hAnsi="宋体" w:cs="宋体"/>
                      <w:color w:val="686868"/>
                      <w:kern w:val="0"/>
                      <w:sz w:val="18"/>
                      <w:szCs w:val="18"/>
                    </w:rPr>
                  </w:pPr>
                  <w:r w:rsidRPr="001257CC">
                    <w:rPr>
                      <w:rFonts w:ascii="宋体" w:eastAsia="宋体" w:hAnsi="宋体" w:cs="宋体"/>
                      <w:b/>
                      <w:bCs/>
                      <w:color w:val="686868"/>
                      <w:kern w:val="0"/>
                      <w:sz w:val="18"/>
                      <w:szCs w:val="18"/>
                    </w:rPr>
                    <w:t>分类:</w:t>
                  </w:r>
                  <w:r w:rsidRPr="001257CC">
                    <w:rPr>
                      <w:rFonts w:ascii="宋体" w:eastAsia="宋体" w:hAnsi="宋体" w:cs="宋体"/>
                      <w:color w:val="686868"/>
                      <w:kern w:val="0"/>
                      <w:sz w:val="18"/>
                      <w:szCs w:val="18"/>
                    </w:rPr>
                    <w:t> 行政处罚 ; 行政处罚决定</w:t>
                  </w:r>
                </w:p>
              </w:tc>
            </w:tr>
          </w:tbl>
          <w:p w:rsidR="001257CC" w:rsidRPr="001257CC" w:rsidRDefault="001257CC" w:rsidP="001257CC">
            <w:pPr>
              <w:widowControl/>
              <w:jc w:val="left"/>
              <w:rPr>
                <w:rFonts w:ascii="宋体" w:eastAsia="宋体" w:hAnsi="宋体" w:cs="宋体"/>
                <w:color w:val="686868"/>
                <w:kern w:val="0"/>
                <w:sz w:val="18"/>
                <w:szCs w:val="18"/>
              </w:rPr>
            </w:pPr>
          </w:p>
        </w:tc>
      </w:tr>
      <w:tr w:rsidR="001257CC" w:rsidRPr="001257CC" w:rsidTr="001257C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257CC" w:rsidRPr="001257CC">
              <w:trPr>
                <w:tblCellSpacing w:w="0" w:type="dxa"/>
              </w:trPr>
              <w:tc>
                <w:tcPr>
                  <w:tcW w:w="2500" w:type="pct"/>
                  <w:tcMar>
                    <w:top w:w="30" w:type="dxa"/>
                    <w:left w:w="30" w:type="dxa"/>
                    <w:bottom w:w="30" w:type="dxa"/>
                    <w:right w:w="30" w:type="dxa"/>
                  </w:tcMar>
                  <w:hideMark/>
                </w:tcPr>
                <w:p w:rsidR="001257CC" w:rsidRPr="001257CC" w:rsidRDefault="001257CC" w:rsidP="001257CC">
                  <w:pPr>
                    <w:widowControl/>
                    <w:jc w:val="left"/>
                    <w:rPr>
                      <w:rFonts w:ascii="宋体" w:eastAsia="宋体" w:hAnsi="宋体" w:cs="宋体"/>
                      <w:color w:val="686868"/>
                      <w:kern w:val="0"/>
                      <w:sz w:val="18"/>
                      <w:szCs w:val="18"/>
                    </w:rPr>
                  </w:pPr>
                  <w:r w:rsidRPr="001257CC">
                    <w:rPr>
                      <w:rFonts w:ascii="宋体" w:eastAsia="宋体" w:hAnsi="宋体" w:cs="宋体"/>
                      <w:b/>
                      <w:bCs/>
                      <w:color w:val="686868"/>
                      <w:kern w:val="0"/>
                      <w:sz w:val="18"/>
                      <w:szCs w:val="18"/>
                    </w:rPr>
                    <w:t>发布机构:</w:t>
                  </w:r>
                  <w:r w:rsidRPr="001257C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1257CC" w:rsidRPr="001257CC" w:rsidRDefault="001257CC" w:rsidP="001257CC">
                  <w:pPr>
                    <w:widowControl/>
                    <w:jc w:val="left"/>
                    <w:rPr>
                      <w:rFonts w:ascii="宋体" w:eastAsia="宋体" w:hAnsi="宋体" w:cs="宋体"/>
                      <w:color w:val="686868"/>
                      <w:kern w:val="0"/>
                      <w:sz w:val="18"/>
                      <w:szCs w:val="18"/>
                    </w:rPr>
                  </w:pPr>
                  <w:r w:rsidRPr="001257CC">
                    <w:rPr>
                      <w:rFonts w:ascii="宋体" w:eastAsia="宋体" w:hAnsi="宋体" w:cs="宋体"/>
                      <w:b/>
                      <w:bCs/>
                      <w:color w:val="686868"/>
                      <w:kern w:val="0"/>
                      <w:sz w:val="18"/>
                      <w:szCs w:val="18"/>
                    </w:rPr>
                    <w:t>发文日期:</w:t>
                  </w:r>
                  <w:r w:rsidRPr="001257CC">
                    <w:rPr>
                      <w:rFonts w:ascii="宋体" w:eastAsia="宋体" w:hAnsi="宋体" w:cs="宋体"/>
                      <w:color w:val="686868"/>
                      <w:kern w:val="0"/>
                      <w:sz w:val="18"/>
                      <w:szCs w:val="18"/>
                    </w:rPr>
                    <w:t> 2019年04月25日</w:t>
                  </w:r>
                </w:p>
              </w:tc>
            </w:tr>
          </w:tbl>
          <w:p w:rsidR="001257CC" w:rsidRPr="001257CC" w:rsidRDefault="001257CC" w:rsidP="001257CC">
            <w:pPr>
              <w:widowControl/>
              <w:jc w:val="left"/>
              <w:rPr>
                <w:rFonts w:ascii="宋体" w:eastAsia="宋体" w:hAnsi="宋体" w:cs="宋体"/>
                <w:color w:val="686868"/>
                <w:kern w:val="0"/>
                <w:sz w:val="18"/>
                <w:szCs w:val="18"/>
              </w:rPr>
            </w:pPr>
          </w:p>
        </w:tc>
      </w:tr>
      <w:tr w:rsidR="001257CC" w:rsidRPr="001257CC" w:rsidTr="001257CC">
        <w:trPr>
          <w:tblCellSpacing w:w="0" w:type="dxa"/>
        </w:trPr>
        <w:tc>
          <w:tcPr>
            <w:tcW w:w="0" w:type="auto"/>
            <w:tcMar>
              <w:top w:w="30" w:type="dxa"/>
              <w:left w:w="30" w:type="dxa"/>
              <w:bottom w:w="30" w:type="dxa"/>
              <w:right w:w="30" w:type="dxa"/>
            </w:tcMar>
            <w:hideMark/>
          </w:tcPr>
          <w:p w:rsidR="001257CC" w:rsidRPr="001257CC" w:rsidRDefault="001257CC" w:rsidP="001257CC">
            <w:pPr>
              <w:widowControl/>
              <w:jc w:val="left"/>
              <w:rPr>
                <w:rFonts w:ascii="宋体" w:eastAsia="宋体" w:hAnsi="宋体" w:cs="宋体"/>
                <w:color w:val="686868"/>
                <w:kern w:val="0"/>
                <w:sz w:val="18"/>
                <w:szCs w:val="18"/>
              </w:rPr>
            </w:pPr>
            <w:r w:rsidRPr="001257CC">
              <w:rPr>
                <w:rFonts w:ascii="宋体" w:eastAsia="宋体" w:hAnsi="宋体" w:cs="宋体"/>
                <w:b/>
                <w:bCs/>
                <w:color w:val="686868"/>
                <w:kern w:val="0"/>
                <w:sz w:val="18"/>
                <w:szCs w:val="18"/>
              </w:rPr>
              <w:t>名　　称:</w:t>
            </w:r>
            <w:r w:rsidRPr="001257CC">
              <w:rPr>
                <w:rFonts w:ascii="宋体" w:eastAsia="宋体" w:hAnsi="宋体" w:cs="宋体"/>
                <w:color w:val="686868"/>
                <w:kern w:val="0"/>
                <w:sz w:val="18"/>
                <w:szCs w:val="18"/>
              </w:rPr>
              <w:t> 中国证监会行政处罚决定书（龙煜文）</w:t>
            </w:r>
          </w:p>
        </w:tc>
      </w:tr>
      <w:tr w:rsidR="001257CC" w:rsidRPr="001257CC" w:rsidTr="001257C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257CC" w:rsidRPr="001257CC">
              <w:trPr>
                <w:tblCellSpacing w:w="0" w:type="dxa"/>
              </w:trPr>
              <w:tc>
                <w:tcPr>
                  <w:tcW w:w="2500" w:type="pct"/>
                  <w:tcMar>
                    <w:top w:w="30" w:type="dxa"/>
                    <w:left w:w="30" w:type="dxa"/>
                    <w:bottom w:w="30" w:type="dxa"/>
                    <w:right w:w="30" w:type="dxa"/>
                  </w:tcMar>
                  <w:hideMark/>
                </w:tcPr>
                <w:p w:rsidR="001257CC" w:rsidRPr="001257CC" w:rsidRDefault="001257CC" w:rsidP="001257CC">
                  <w:pPr>
                    <w:widowControl/>
                    <w:jc w:val="left"/>
                    <w:rPr>
                      <w:rFonts w:ascii="宋体" w:eastAsia="宋体" w:hAnsi="宋体" w:cs="宋体"/>
                      <w:color w:val="686868"/>
                      <w:kern w:val="0"/>
                      <w:sz w:val="18"/>
                      <w:szCs w:val="18"/>
                    </w:rPr>
                  </w:pPr>
                  <w:r w:rsidRPr="001257CC">
                    <w:rPr>
                      <w:rFonts w:ascii="宋体" w:eastAsia="宋体" w:hAnsi="宋体" w:cs="宋体"/>
                      <w:b/>
                      <w:bCs/>
                      <w:color w:val="686868"/>
                      <w:kern w:val="0"/>
                      <w:sz w:val="18"/>
                      <w:szCs w:val="18"/>
                    </w:rPr>
                    <w:t>文　　号:</w:t>
                  </w:r>
                  <w:r w:rsidRPr="001257CC">
                    <w:rPr>
                      <w:rFonts w:ascii="宋体" w:eastAsia="宋体" w:hAnsi="宋体" w:cs="宋体"/>
                      <w:color w:val="686868"/>
                      <w:kern w:val="0"/>
                      <w:sz w:val="18"/>
                      <w:szCs w:val="18"/>
                    </w:rPr>
                    <w:t> 〔2019〕25号</w:t>
                  </w:r>
                  <w:bookmarkStart w:id="0" w:name="_GoBack"/>
                  <w:bookmarkEnd w:id="0"/>
                </w:p>
              </w:tc>
              <w:tc>
                <w:tcPr>
                  <w:tcW w:w="0" w:type="auto"/>
                  <w:tcMar>
                    <w:top w:w="30" w:type="dxa"/>
                    <w:left w:w="30" w:type="dxa"/>
                    <w:bottom w:w="30" w:type="dxa"/>
                    <w:right w:w="30" w:type="dxa"/>
                  </w:tcMar>
                  <w:hideMark/>
                </w:tcPr>
                <w:p w:rsidR="001257CC" w:rsidRPr="001257CC" w:rsidRDefault="001257CC" w:rsidP="001257CC">
                  <w:pPr>
                    <w:widowControl/>
                    <w:jc w:val="left"/>
                    <w:rPr>
                      <w:rFonts w:ascii="宋体" w:eastAsia="宋体" w:hAnsi="宋体" w:cs="宋体"/>
                      <w:color w:val="686868"/>
                      <w:kern w:val="0"/>
                      <w:sz w:val="18"/>
                      <w:szCs w:val="18"/>
                    </w:rPr>
                  </w:pPr>
                  <w:r w:rsidRPr="001257CC">
                    <w:rPr>
                      <w:rFonts w:ascii="宋体" w:eastAsia="宋体" w:hAnsi="宋体" w:cs="宋体"/>
                      <w:b/>
                      <w:bCs/>
                      <w:color w:val="686868"/>
                      <w:kern w:val="0"/>
                      <w:sz w:val="18"/>
                      <w:szCs w:val="18"/>
                    </w:rPr>
                    <w:t>主 题 词:</w:t>
                  </w:r>
                </w:p>
              </w:tc>
            </w:tr>
          </w:tbl>
          <w:p w:rsidR="001257CC" w:rsidRPr="001257CC" w:rsidRDefault="001257CC" w:rsidP="001257CC">
            <w:pPr>
              <w:widowControl/>
              <w:jc w:val="left"/>
              <w:rPr>
                <w:rFonts w:ascii="宋体" w:eastAsia="宋体" w:hAnsi="宋体" w:cs="宋体"/>
                <w:color w:val="686868"/>
                <w:kern w:val="0"/>
                <w:sz w:val="18"/>
                <w:szCs w:val="18"/>
              </w:rPr>
            </w:pPr>
          </w:p>
        </w:tc>
      </w:tr>
    </w:tbl>
    <w:p w:rsidR="001257CC" w:rsidRPr="001257CC" w:rsidRDefault="001257CC" w:rsidP="001257CC">
      <w:pPr>
        <w:widowControl/>
        <w:jc w:val="center"/>
        <w:rPr>
          <w:rFonts w:ascii="微软雅黑" w:eastAsia="微软雅黑" w:hAnsi="微软雅黑" w:cs="宋体"/>
          <w:color w:val="000000"/>
          <w:kern w:val="0"/>
          <w:sz w:val="18"/>
          <w:szCs w:val="18"/>
        </w:rPr>
      </w:pPr>
      <w:r w:rsidRPr="001257C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1257CC" w:rsidRPr="001257CC" w:rsidRDefault="001257CC" w:rsidP="001257CC">
      <w:pPr>
        <w:widowControl/>
        <w:shd w:val="clear" w:color="auto" w:fill="FFFFFF"/>
        <w:spacing w:after="240"/>
        <w:jc w:val="center"/>
        <w:rPr>
          <w:rFonts w:ascii="微软雅黑" w:eastAsia="微软雅黑" w:hAnsi="微软雅黑" w:cs="宋体" w:hint="eastAsia"/>
          <w:color w:val="000000"/>
          <w:kern w:val="0"/>
          <w:sz w:val="18"/>
          <w:szCs w:val="18"/>
        </w:rPr>
      </w:pPr>
      <w:r w:rsidRPr="001257CC">
        <w:rPr>
          <w:rFonts w:ascii="微软雅黑" w:eastAsia="微软雅黑" w:hAnsi="微软雅黑" w:cs="宋体" w:hint="eastAsia"/>
          <w:color w:val="000000"/>
          <w:kern w:val="0"/>
          <w:sz w:val="18"/>
          <w:szCs w:val="18"/>
        </w:rPr>
        <w:br/>
      </w:r>
      <w:r w:rsidRPr="001257CC">
        <w:rPr>
          <w:rFonts w:ascii="黑体" w:eastAsia="黑体" w:hAnsi="黑体" w:cs="宋体" w:hint="eastAsia"/>
          <w:b/>
          <w:bCs/>
          <w:color w:val="FF0000"/>
          <w:kern w:val="0"/>
          <w:sz w:val="36"/>
          <w:szCs w:val="36"/>
        </w:rPr>
        <w:t>中国证监会行政处罚决定书（龙煜文）</w:t>
      </w:r>
    </w:p>
    <w:p w:rsidR="001257CC" w:rsidRPr="001257CC" w:rsidRDefault="001257CC" w:rsidP="001257CC">
      <w:pPr>
        <w:widowControl/>
        <w:shd w:val="clear" w:color="auto" w:fill="FFFFFF"/>
        <w:spacing w:line="360" w:lineRule="atLeast"/>
        <w:jc w:val="center"/>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〔2019〕25号</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Calibri" w:eastAsia="楷体" w:hAnsi="Calibri" w:cs="Calibri"/>
          <w:color w:val="000000"/>
          <w:kern w:val="0"/>
          <w:sz w:val="24"/>
          <w:szCs w:val="24"/>
        </w:rPr>
        <w:t> </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当事人：龙煜文，男，1979年9月出生，住址：广东省东莞市南城区东莞大道。</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依据《中华人民共和国证券法》（以下简称《证券法》）的有关规定，我会依法对龙煜文内幕交易广东银禧科技股份有限公司（以下简称银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科技）股票的行为进行了立案调查、审理，并依法向当事人告知了</w:t>
      </w:r>
      <w:proofErr w:type="gramStart"/>
      <w:r w:rsidRPr="001257CC">
        <w:rPr>
          <w:rFonts w:ascii="宋体" w:eastAsia="宋体" w:hAnsi="宋体" w:cs="宋体" w:hint="eastAsia"/>
          <w:color w:val="000000"/>
          <w:kern w:val="0"/>
          <w:szCs w:val="21"/>
        </w:rPr>
        <w:t>作出</w:t>
      </w:r>
      <w:proofErr w:type="gramEnd"/>
      <w:r w:rsidRPr="001257CC">
        <w:rPr>
          <w:rFonts w:ascii="宋体" w:eastAsia="宋体" w:hAnsi="宋体" w:cs="宋体" w:hint="eastAsia"/>
          <w:color w:val="000000"/>
          <w:kern w:val="0"/>
          <w:szCs w:val="21"/>
        </w:rPr>
        <w:t>行政处罚的事实、理由、依据以及当事人依法享有的权利。应当事人的申请，我会举行了听证会，听取了当事人的陈述和申辩。本案现已调查、审理终结。</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经查明，龙煜文存在以下违法事实：</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一、涉案内幕信息的形成和公开过程</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2014年9月，银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科技以增资方式参股兴科电子科技有限公司（以下简称兴科电子），并于2014年11月、2015年10月两次追加投资。银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科技在投资兴科电子的同时考虑了其长期发展路径，兴科电子各股东都一致认同，在兴科电子未来发展较好的情况下，应将其资本化。</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2015年12月底，银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科技董事长谭某斌看到兴科电子全年业绩较好，和银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科技总经理林某灿、</w:t>
      </w:r>
      <w:proofErr w:type="gramStart"/>
      <w:r w:rsidRPr="001257CC">
        <w:rPr>
          <w:rFonts w:ascii="宋体" w:eastAsia="宋体" w:hAnsi="宋体" w:cs="宋体" w:hint="eastAsia"/>
          <w:color w:val="000000"/>
          <w:kern w:val="0"/>
          <w:szCs w:val="21"/>
        </w:rPr>
        <w:t>董秘顾某峰</w:t>
      </w:r>
      <w:proofErr w:type="gramEnd"/>
      <w:r w:rsidRPr="001257CC">
        <w:rPr>
          <w:rFonts w:ascii="宋体" w:eastAsia="宋体" w:hAnsi="宋体" w:cs="宋体" w:hint="eastAsia"/>
          <w:color w:val="000000"/>
          <w:kern w:val="0"/>
          <w:szCs w:val="21"/>
        </w:rPr>
        <w:t>就收购兴科电子进行可行性分析，并让顾</w:t>
      </w:r>
      <w:proofErr w:type="gramStart"/>
      <w:r w:rsidRPr="001257CC">
        <w:rPr>
          <w:rFonts w:ascii="宋体" w:eastAsia="宋体" w:hAnsi="宋体" w:cs="宋体" w:hint="eastAsia"/>
          <w:color w:val="000000"/>
          <w:kern w:val="0"/>
          <w:szCs w:val="21"/>
        </w:rPr>
        <w:t>某峰做</w:t>
      </w:r>
      <w:proofErr w:type="gramEnd"/>
      <w:r w:rsidRPr="001257CC">
        <w:rPr>
          <w:rFonts w:ascii="宋体" w:eastAsia="宋体" w:hAnsi="宋体" w:cs="宋体" w:hint="eastAsia"/>
          <w:color w:val="000000"/>
          <w:kern w:val="0"/>
          <w:szCs w:val="21"/>
        </w:rPr>
        <w:t>一个兴科电子估值计算。</w:t>
      </w:r>
      <w:proofErr w:type="gramStart"/>
      <w:r w:rsidRPr="001257CC">
        <w:rPr>
          <w:rFonts w:ascii="宋体" w:eastAsia="宋体" w:hAnsi="宋体" w:cs="宋体" w:hint="eastAsia"/>
          <w:color w:val="000000"/>
          <w:kern w:val="0"/>
          <w:szCs w:val="21"/>
        </w:rPr>
        <w:t>顾某峰于</w:t>
      </w:r>
      <w:proofErr w:type="gramEnd"/>
      <w:r w:rsidRPr="001257CC">
        <w:rPr>
          <w:rFonts w:ascii="宋体" w:eastAsia="宋体" w:hAnsi="宋体" w:cs="宋体" w:hint="eastAsia"/>
          <w:color w:val="000000"/>
          <w:kern w:val="0"/>
          <w:szCs w:val="21"/>
        </w:rPr>
        <w:t>12月28日开始起草兴科电子估值表，于2016年1月6日将《兴科估值》文件通过邮件发送给谭某斌、林某灿。</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2016年春节上班后，谭某斌和林某灿、顾某峰商定了收购兴科电子的整体估值方案。此后到2月19日之间，谭某斌和兴科电子董事长胡某</w:t>
      </w:r>
      <w:proofErr w:type="gramStart"/>
      <w:r w:rsidRPr="001257CC">
        <w:rPr>
          <w:rFonts w:ascii="宋体" w:eastAsia="宋体" w:hAnsi="宋体" w:cs="宋体" w:hint="eastAsia"/>
          <w:color w:val="000000"/>
          <w:kern w:val="0"/>
          <w:szCs w:val="21"/>
        </w:rPr>
        <w:t>赐</w:t>
      </w:r>
      <w:proofErr w:type="gramEnd"/>
      <w:r w:rsidRPr="001257CC">
        <w:rPr>
          <w:rFonts w:ascii="宋体" w:eastAsia="宋体" w:hAnsi="宋体" w:cs="宋体" w:hint="eastAsia"/>
          <w:color w:val="000000"/>
          <w:kern w:val="0"/>
          <w:szCs w:val="21"/>
        </w:rPr>
        <w:t>沟通了银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科技收购兴科电子的事。2016年2月19日晚上，根据胡某</w:t>
      </w:r>
      <w:proofErr w:type="gramStart"/>
      <w:r w:rsidRPr="001257CC">
        <w:rPr>
          <w:rFonts w:ascii="宋体" w:eastAsia="宋体" w:hAnsi="宋体" w:cs="宋体" w:hint="eastAsia"/>
          <w:color w:val="000000"/>
          <w:kern w:val="0"/>
          <w:szCs w:val="21"/>
        </w:rPr>
        <w:t>赐</w:t>
      </w:r>
      <w:proofErr w:type="gramEnd"/>
      <w:r w:rsidRPr="001257CC">
        <w:rPr>
          <w:rFonts w:ascii="宋体" w:eastAsia="宋体" w:hAnsi="宋体" w:cs="宋体" w:hint="eastAsia"/>
          <w:color w:val="000000"/>
          <w:kern w:val="0"/>
          <w:szCs w:val="21"/>
        </w:rPr>
        <w:t>提议，谭某斌、林某灿与兴科电子经营班子成员胡某赐、陈某勇、张某武在东莞旗峰山铂尔曼酒店会面，正式就银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科技收购兴科电子事宜进行公司层面的会谈，因估值差距</w:t>
      </w:r>
      <w:proofErr w:type="gramStart"/>
      <w:r w:rsidRPr="001257CC">
        <w:rPr>
          <w:rFonts w:ascii="宋体" w:eastAsia="宋体" w:hAnsi="宋体" w:cs="宋体" w:hint="eastAsia"/>
          <w:color w:val="000000"/>
          <w:kern w:val="0"/>
          <w:szCs w:val="21"/>
        </w:rPr>
        <w:t>较大未</w:t>
      </w:r>
      <w:proofErr w:type="gramEnd"/>
      <w:r w:rsidRPr="001257CC">
        <w:rPr>
          <w:rFonts w:ascii="宋体" w:eastAsia="宋体" w:hAnsi="宋体" w:cs="宋体" w:hint="eastAsia"/>
          <w:color w:val="000000"/>
          <w:kern w:val="0"/>
          <w:szCs w:val="21"/>
        </w:rPr>
        <w:t>达成一致。此后，谭某斌与胡某赐就收购事宜保持沟通。2016年3月底银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科技公布年报和一季度业绩预告后，兴科电子业绩带动了银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科技股价上涨，谭某斌和胡某</w:t>
      </w:r>
      <w:proofErr w:type="gramStart"/>
      <w:r w:rsidRPr="001257CC">
        <w:rPr>
          <w:rFonts w:ascii="宋体" w:eastAsia="宋体" w:hAnsi="宋体" w:cs="宋体" w:hint="eastAsia"/>
          <w:color w:val="000000"/>
          <w:kern w:val="0"/>
          <w:szCs w:val="21"/>
        </w:rPr>
        <w:t>赐</w:t>
      </w:r>
      <w:proofErr w:type="gramEnd"/>
      <w:r w:rsidRPr="001257CC">
        <w:rPr>
          <w:rFonts w:ascii="宋体" w:eastAsia="宋体" w:hAnsi="宋体" w:cs="宋体" w:hint="eastAsia"/>
          <w:color w:val="000000"/>
          <w:kern w:val="0"/>
          <w:szCs w:val="21"/>
        </w:rPr>
        <w:t>决定加快收购进程。</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lastRenderedPageBreak/>
        <w:t>2016年4月14日上午11时左右，谭某斌决定停牌启动收购事宜。当天晚上，银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科技和兴科电子相关人员就并购重组事宜进行了洽谈，并于23时左右签署《股权收购意向书》。</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4月15日，银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科技公司股票停牌。6月15日、6月27日，银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先后发布《发行股份及支付现金购买资产并募集配套资金暨关联交易报告书（草案）》及《发行股份及支付现金购买资产并募集配套资金暨关联交易报告书（草案）（修订稿）》，披露公司拟以发行股份和支付现金相结合的方式分别向胡某赐、陈某勇、许某明和高某义购买其持有的标的公司兴科电子66.20%的股权，交易价格108,500万元，其中以现金方式支付36,993万元，以发行股份方式支付71,507万元，发行股份数为66,394,613股。同时，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科技拟采用定价发行的方式向谭某斌、林某灿和银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科技1号</w:t>
      </w:r>
      <w:proofErr w:type="gramStart"/>
      <w:r w:rsidRPr="001257CC">
        <w:rPr>
          <w:rFonts w:ascii="宋体" w:eastAsia="宋体" w:hAnsi="宋体" w:cs="宋体" w:hint="eastAsia"/>
          <w:color w:val="000000"/>
          <w:kern w:val="0"/>
          <w:szCs w:val="21"/>
        </w:rPr>
        <w:t>计划非</w:t>
      </w:r>
      <w:proofErr w:type="gramEnd"/>
      <w:r w:rsidRPr="001257CC">
        <w:rPr>
          <w:rFonts w:ascii="宋体" w:eastAsia="宋体" w:hAnsi="宋体" w:cs="宋体" w:hint="eastAsia"/>
          <w:color w:val="000000"/>
          <w:kern w:val="0"/>
          <w:szCs w:val="21"/>
        </w:rPr>
        <w:t>公开发行股票募集配套资金，募集配套资金总额不超过38,720万元，不高于本次拟购买资产交易价格的100%。公司股票自6月28日起复牌。</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收购兴科电子66.20%的股权事项，属于《证券法》第六十七条第二款第（二）项规定的“公司的重大投资行为和重大的购置财产的决定”，根据《证券法》第七十五条第二款第（一）项的规定，在公开披露前属于内幕信息。内幕信息形成的起点不晚于2016年2月19日，公开于2016年6月15日。谭某斌、林某灿、胡某赐、陈某勇、张某武等为内幕信息知情人。</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二、龙煜文内幕交易“银禧科技”</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内幕信息敏感期内，龙煜文使用本人证券账户，及成立资产管理计划并通过收益互换计划加杠杆大量买入“银禧科技”，共计获利30,904,501.87元。具体情况如下：</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（一）使用本人证券账户交易“银禧科技”</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龙煜文利用本人开立于东莞证券东城大道营业部的证券账户，分别于2016年3月21日、3月22日、4月12日买入“银禧科技”，共计买入253.18万股，买入金额30,815,423.23元；3月24日、4月11日卖出“银禧科技”，共计卖出113.7万股，卖出金额14,839,350.96元。经计算，“龙煜文”账户在本案内幕信息敏感期内买入“银禧科技”股票的盈利为10,943,907.05元。</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“龙煜文”账户由龙煜文本人控制并操作下单。该账户资金全部来自其舅舅袁某宗银行账户，据当事人询问笔录，上述资金是袁某宗支付给龙煜文的投资收益、项目分红及奖金。</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内幕信息敏感期之前，“龙煜文”账户于2015年11月5日买入“银禧科技”25万股，买入金额270.93万元。敏感期内，“龙煜文”账户净买入“银禧科技”139.48万股，净买入金额15,976,072.27元，买入数量、金额明显放大，同时高于其他股票交易金额。</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（二）通过资产管理计划及收益互换交易“银禧科技”</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2016年3月，龙煜文为了融资加杠杆买入“银禧科技”，向其舅舅袁某宗借款6,000万元成立南华期货光华</w:t>
      </w:r>
      <w:proofErr w:type="gramStart"/>
      <w:r w:rsidRPr="001257CC">
        <w:rPr>
          <w:rFonts w:ascii="宋体" w:eastAsia="宋体" w:hAnsi="宋体" w:cs="宋体" w:hint="eastAsia"/>
          <w:color w:val="000000"/>
          <w:kern w:val="0"/>
          <w:szCs w:val="21"/>
        </w:rPr>
        <w:t>15号资管计划</w:t>
      </w:r>
      <w:proofErr w:type="gramEnd"/>
      <w:r w:rsidRPr="001257CC">
        <w:rPr>
          <w:rFonts w:ascii="宋体" w:eastAsia="宋体" w:hAnsi="宋体" w:cs="宋体" w:hint="eastAsia"/>
          <w:color w:val="000000"/>
          <w:kern w:val="0"/>
          <w:szCs w:val="21"/>
        </w:rPr>
        <w:t>，并以</w:t>
      </w:r>
      <w:proofErr w:type="gramStart"/>
      <w:r w:rsidRPr="001257CC">
        <w:rPr>
          <w:rFonts w:ascii="宋体" w:eastAsia="宋体" w:hAnsi="宋体" w:cs="宋体" w:hint="eastAsia"/>
          <w:color w:val="000000"/>
          <w:kern w:val="0"/>
          <w:szCs w:val="21"/>
        </w:rPr>
        <w:t>该资管计划</w:t>
      </w:r>
      <w:proofErr w:type="gramEnd"/>
      <w:r w:rsidRPr="001257CC">
        <w:rPr>
          <w:rFonts w:ascii="宋体" w:eastAsia="宋体" w:hAnsi="宋体" w:cs="宋体" w:hint="eastAsia"/>
          <w:color w:val="000000"/>
          <w:kern w:val="0"/>
          <w:szCs w:val="21"/>
        </w:rPr>
        <w:t>名义与中金公司签署以“银禧科技”为标的、为期一年的收益互换计划。龙煜文通过光华15号</w:t>
      </w:r>
      <w:proofErr w:type="gramStart"/>
      <w:r w:rsidRPr="001257CC">
        <w:rPr>
          <w:rFonts w:ascii="宋体" w:eastAsia="宋体" w:hAnsi="宋体" w:cs="宋体" w:hint="eastAsia"/>
          <w:color w:val="000000"/>
          <w:kern w:val="0"/>
          <w:szCs w:val="21"/>
        </w:rPr>
        <w:t>资管计划</w:t>
      </w:r>
      <w:proofErr w:type="gramEnd"/>
      <w:r w:rsidRPr="001257CC">
        <w:rPr>
          <w:rFonts w:ascii="宋体" w:eastAsia="宋体" w:hAnsi="宋体" w:cs="宋体" w:hint="eastAsia"/>
          <w:color w:val="000000"/>
          <w:kern w:val="0"/>
          <w:szCs w:val="21"/>
        </w:rPr>
        <w:t>向中金公司缴纳6,000万元保证金，中金公司配资9,000万元，名义本金共计1.5亿元。中金公司于2016年3月25日至29日在其自营账户买入“银禧科技”11,045,578股作为对冲。龙煜文通过该收益互换计划实际盈利19,960,595.82元。</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（三）与内幕信息知情人联络、接触情况</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lastRenderedPageBreak/>
        <w:t>龙煜文与谭某斌于2007年认识，在敏感期内与谭某斌通话1次，时间为2016年2月24日13:02，通话时长1分49秒。</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同时，龙煜文系袁某宗外甥，2009年至今在袁某宗为法定代表人的</w:t>
      </w:r>
      <w:proofErr w:type="gramStart"/>
      <w:r w:rsidRPr="001257CC">
        <w:rPr>
          <w:rFonts w:ascii="宋体" w:eastAsia="宋体" w:hAnsi="宋体" w:cs="宋体" w:hint="eastAsia"/>
          <w:color w:val="000000"/>
          <w:kern w:val="0"/>
          <w:szCs w:val="21"/>
        </w:rPr>
        <w:t>广汇科技</w:t>
      </w:r>
      <w:proofErr w:type="gramEnd"/>
      <w:r w:rsidRPr="001257CC">
        <w:rPr>
          <w:rFonts w:ascii="宋体" w:eastAsia="宋体" w:hAnsi="宋体" w:cs="宋体" w:hint="eastAsia"/>
          <w:color w:val="000000"/>
          <w:kern w:val="0"/>
          <w:szCs w:val="21"/>
        </w:rPr>
        <w:t>融资担保股份有限公司任投资部经理，负责管理袁某宗个人及公司的证券账户及二级市场投资。“龙煜文”账户中交易银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科技的资金及支付给中金公司的保证金均来自袁某宗银行账户。</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据询问笔录，袁某宗和谭某斌于2006年认识，2008年成为银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科技第三大股东，并派人到银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科技担任董事。银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上市后，袁某宗卖出了持有的“银禧科技”，但仍与谭某斌保持联络，逢年过节谭某斌会去拜访袁某宗。2016年春节后，袁某宗与谭某斌有通话及见面联络。3月初，袁某宗和谭某斌在东莞市参加相关座谈会时见过面。内幕信息敏感期内，袁某宗和谭某斌于2016年3月8日、3月13日有6次通话。</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（四）当事人交易决策情况</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据龙煜文与袁某宗笔录，俩人联系密切，经常在一起讨论股票，并多次就投资“银禧科技”进行交流。从2016年春节前后，到2016年3月下旬袁某宗向龙煜文提供6000万元购买股票期间，袁某宗多次跟龙煜文讨论创业板股票，建议如果投资创业板，还是买“银禧科技”比较稳妥。龙煜文在向袁某宗借款的时候表示如果投资创业板，会主要买“银禧科技”。</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据龙煜文笔录，其大量买入“银禧科技”是因为一直跟踪银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科技的公告和媒体报道，主要看好它的3D打印概念、投资兴科电子情况，在2016年1月初熔断时留意到银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科技公告年报业绩增长，净利润有4000多万元等。</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以上事实，有银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科技公告和相关情况说明、相关证券账户资料、银行账户资料、询问笔录、通话记录、电子设备取证信息、深圳证券交易所出具的盈利计算结果等证据证明，足以认定。</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我会认为，龙煜文在本案内幕信息敏感期内，本人及通过利益相关人袁某宗与内幕信息知情人联络、接触，同时使用本人账户和通过资产管理计划及收益互换加杠杆大量买入“银禧科技”，买入意愿十分强烈，且相关交易决策、实施时间与袁某宗、龙煜文和谭某斌联络、接触时间基本一致，交易行为明显异常，且无正当理由或正当信息来源。龙煜文的上述行为，违反了《证券法》第七十三条、第七十六条第一款的规定，构成《证券法》第二百零二条所述内幕交易行为。</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听证中，当事人主张其不构成内幕交易，主要申辩意见如下：</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第一，龙煜文未从谭某斌处获悉内幕信息，俩人在敏感期内唯一的一次电话联系主要是处理谭某斌的朋友向袁某</w:t>
      </w:r>
      <w:proofErr w:type="gramStart"/>
      <w:r w:rsidRPr="001257CC">
        <w:rPr>
          <w:rFonts w:ascii="宋体" w:eastAsia="宋体" w:hAnsi="宋体" w:cs="宋体" w:hint="eastAsia"/>
          <w:color w:val="000000"/>
          <w:kern w:val="0"/>
          <w:szCs w:val="21"/>
        </w:rPr>
        <w:t>宗公司</w:t>
      </w:r>
      <w:proofErr w:type="gramEnd"/>
      <w:r w:rsidRPr="001257CC">
        <w:rPr>
          <w:rFonts w:ascii="宋体" w:eastAsia="宋体" w:hAnsi="宋体" w:cs="宋体" w:hint="eastAsia"/>
          <w:color w:val="000000"/>
          <w:kern w:val="0"/>
          <w:szCs w:val="21"/>
        </w:rPr>
        <w:t>借款事宜，并未传递内幕信息。龙煜文的舅舅袁某宗与谭某斌在敏感期内的联系并无异常，无证据和理由证明俩人之间的通话、见面涉及内幕信息。龙煜文也未从袁某宗处知悉任何内幕信息，</w:t>
      </w:r>
      <w:proofErr w:type="gramStart"/>
      <w:r w:rsidRPr="001257CC">
        <w:rPr>
          <w:rFonts w:ascii="宋体" w:eastAsia="宋体" w:hAnsi="宋体" w:cs="宋体" w:hint="eastAsia"/>
          <w:color w:val="000000"/>
          <w:kern w:val="0"/>
          <w:szCs w:val="21"/>
        </w:rPr>
        <w:t>且信息</w:t>
      </w:r>
      <w:proofErr w:type="gramEnd"/>
      <w:r w:rsidRPr="001257CC">
        <w:rPr>
          <w:rFonts w:ascii="宋体" w:eastAsia="宋体" w:hAnsi="宋体" w:cs="宋体" w:hint="eastAsia"/>
          <w:color w:val="000000"/>
          <w:kern w:val="0"/>
          <w:szCs w:val="21"/>
        </w:rPr>
        <w:t>从袁某宗传递至龙煜文已经属于二次传递，不应在没有直接证据证明申辩人知悉内幕信息的情况下进行认定。</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第二，龙煜文就“银禧科技”的交易行为系基于银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科技公开信息、相关媒体报道及本人多年投资经验的综合判断结果；“龙煜文”账户在敏感期内除买入“银禧科技”，亦有大单交</w:t>
      </w:r>
      <w:proofErr w:type="gramStart"/>
      <w:r w:rsidRPr="001257CC">
        <w:rPr>
          <w:rFonts w:ascii="宋体" w:eastAsia="宋体" w:hAnsi="宋体" w:cs="宋体" w:hint="eastAsia"/>
          <w:color w:val="000000"/>
          <w:kern w:val="0"/>
          <w:szCs w:val="21"/>
        </w:rPr>
        <w:t>易其他</w:t>
      </w:r>
      <w:proofErr w:type="gramEnd"/>
      <w:r w:rsidRPr="001257CC">
        <w:rPr>
          <w:rFonts w:ascii="宋体" w:eastAsia="宋体" w:hAnsi="宋体" w:cs="宋体" w:hint="eastAsia"/>
          <w:color w:val="000000"/>
          <w:kern w:val="0"/>
          <w:szCs w:val="21"/>
        </w:rPr>
        <w:t>股票，使用</w:t>
      </w:r>
      <w:proofErr w:type="gramStart"/>
      <w:r w:rsidRPr="001257CC">
        <w:rPr>
          <w:rFonts w:ascii="宋体" w:eastAsia="宋体" w:hAnsi="宋体" w:cs="宋体" w:hint="eastAsia"/>
          <w:color w:val="000000"/>
          <w:kern w:val="0"/>
          <w:szCs w:val="21"/>
        </w:rPr>
        <w:t>资管计划</w:t>
      </w:r>
      <w:proofErr w:type="gramEnd"/>
      <w:r w:rsidRPr="001257CC">
        <w:rPr>
          <w:rFonts w:ascii="宋体" w:eastAsia="宋体" w:hAnsi="宋体" w:cs="宋体" w:hint="eastAsia"/>
          <w:color w:val="000000"/>
          <w:kern w:val="0"/>
          <w:szCs w:val="21"/>
        </w:rPr>
        <w:t>加杠杆买入“银禧科技”也与其使用融资融券账户进行交易的习惯相符，交易不存在异常；龙煜文2016年3月下旬才开始买入“银禧科技”，并在之后还有卖出行为，与袁某宗和谭某斌联络时间不吻合，不具有内幕交易的交易特征。且龙煜</w:t>
      </w:r>
      <w:r w:rsidRPr="001257CC">
        <w:rPr>
          <w:rFonts w:ascii="宋体" w:eastAsia="宋体" w:hAnsi="宋体" w:cs="宋体" w:hint="eastAsia"/>
          <w:color w:val="000000"/>
          <w:kern w:val="0"/>
          <w:szCs w:val="21"/>
        </w:rPr>
        <w:lastRenderedPageBreak/>
        <w:t>文早在2015年底就向袁某宗筹借资金，案涉</w:t>
      </w:r>
      <w:proofErr w:type="gramStart"/>
      <w:r w:rsidRPr="001257CC">
        <w:rPr>
          <w:rFonts w:ascii="宋体" w:eastAsia="宋体" w:hAnsi="宋体" w:cs="宋体" w:hint="eastAsia"/>
          <w:color w:val="000000"/>
          <w:kern w:val="0"/>
          <w:szCs w:val="21"/>
        </w:rPr>
        <w:t>资管计划</w:t>
      </w:r>
      <w:proofErr w:type="gramEnd"/>
      <w:r w:rsidRPr="001257CC">
        <w:rPr>
          <w:rFonts w:ascii="宋体" w:eastAsia="宋体" w:hAnsi="宋体" w:cs="宋体" w:hint="eastAsia"/>
          <w:color w:val="000000"/>
          <w:kern w:val="0"/>
          <w:szCs w:val="21"/>
        </w:rPr>
        <w:t>亦在此时着手准备，即关于“银禧科技”的交易决策早在2015年底就已做出，但因客观原因至2016年3月才完成</w:t>
      </w:r>
      <w:proofErr w:type="gramStart"/>
      <w:r w:rsidRPr="001257CC">
        <w:rPr>
          <w:rFonts w:ascii="宋体" w:eastAsia="宋体" w:hAnsi="宋体" w:cs="宋体" w:hint="eastAsia"/>
          <w:color w:val="000000"/>
          <w:kern w:val="0"/>
          <w:szCs w:val="21"/>
        </w:rPr>
        <w:t>资管计划</w:t>
      </w:r>
      <w:proofErr w:type="gramEnd"/>
      <w:r w:rsidRPr="001257CC">
        <w:rPr>
          <w:rFonts w:ascii="宋体" w:eastAsia="宋体" w:hAnsi="宋体" w:cs="宋体" w:hint="eastAsia"/>
          <w:color w:val="000000"/>
          <w:kern w:val="0"/>
          <w:szCs w:val="21"/>
        </w:rPr>
        <w:t>设立，以致交易正好落在敏感期内，引起误解。</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第三，目前证据并不能证明龙煜文“知悉”并“利用”内幕信息进行内幕交易获利，没有达到优势证据的证明标准。</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第四，鉴于本案具有“内幕信息公开前银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科技股价未受内幕信息影响”、“反向交易的股票数量占比较大”的实际情况，从过</w:t>
      </w:r>
      <w:proofErr w:type="gramStart"/>
      <w:r w:rsidRPr="001257CC">
        <w:rPr>
          <w:rFonts w:ascii="宋体" w:eastAsia="宋体" w:hAnsi="宋体" w:cs="宋体" w:hint="eastAsia"/>
          <w:color w:val="000000"/>
          <w:kern w:val="0"/>
          <w:szCs w:val="21"/>
        </w:rPr>
        <w:t>罚相当</w:t>
      </w:r>
      <w:proofErr w:type="gramEnd"/>
      <w:r w:rsidRPr="001257CC">
        <w:rPr>
          <w:rFonts w:ascii="宋体" w:eastAsia="宋体" w:hAnsi="宋体" w:cs="宋体" w:hint="eastAsia"/>
          <w:color w:val="000000"/>
          <w:kern w:val="0"/>
          <w:szCs w:val="21"/>
        </w:rPr>
        <w:t>以及有利于当事人的原则出发，恳请将反向交易的盈利排除在本案交易获利之外；此外，即便按照“后进先出法”并将反向交易盈利纳入最终交易获利，《事先告知书》中关于龙煜文本人证券账户的交易获利也多计了2.1万余元。</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听证会后，当事人及其代理人还补充提交相关证据，以证明龙煜文在2月18日之前已决定投资8,000万元并加杠杆买入“银禧科技”，龙煜文在内幕信息敏感期交易“银禧科技”的行为</w:t>
      </w:r>
      <w:proofErr w:type="gramStart"/>
      <w:r w:rsidRPr="001257CC">
        <w:rPr>
          <w:rFonts w:ascii="宋体" w:eastAsia="宋体" w:hAnsi="宋体" w:cs="宋体" w:hint="eastAsia"/>
          <w:color w:val="000000"/>
          <w:kern w:val="0"/>
          <w:szCs w:val="21"/>
        </w:rPr>
        <w:t>系实施</w:t>
      </w:r>
      <w:proofErr w:type="gramEnd"/>
      <w:r w:rsidRPr="001257CC">
        <w:rPr>
          <w:rFonts w:ascii="宋体" w:eastAsia="宋体" w:hAnsi="宋体" w:cs="宋体" w:hint="eastAsia"/>
          <w:color w:val="000000"/>
          <w:kern w:val="0"/>
          <w:szCs w:val="21"/>
        </w:rPr>
        <w:t>事先订立的交易计划，而与内幕信息无关。</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经复核，我会对上述陈述和申辩意见不予采纳，具体理由如下：</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首先，当事人关于其未获取内幕信息的申辩缺乏证据支持。一是龙煜文本人与内幕信息知情人谭某斌在信息敏感期内有电话联络，具备获知内幕信息的可能性；二是龙煜文的舅舅袁某宗与谭某斌在信息敏感期内有见面及数次通话联络，亦具备获知内幕信息的可能性；三是当事人关于其本人及袁某宗与谭某斌的通话、见面均另有其因，期间未发生内幕信息传递的主张，仅有当事人及利害关系人陈述，缺乏客观、可信证据支持，不足以证明当事人未获知内幕信息。</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其次，我会关于当事人构成内幕交易的认定结论并非基于二次推定。一是如前所述，当事人龙煜文本人与内幕信息知情人谭某斌有一次直接通话联络。二是本案中，龙煜文、袁某宗之间不仅有亲属关系、雇佣关系，袁某宗还是龙煜文交易“银禧科技”资金的提供者，并多次向龙煜文推荐“银禧科技”。另据袁某宗笔录，龙煜文在向他借钱买股票时也曾问他“能不能找谭某斌了解一下公司的情况怎么样”。上述事实表明袁某宗是案涉交易的利益相关主体，且对交易决策提供了投资建议。</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其三，当事人在信息敏感期内交易“银禧科技”的行为明显异常。一是交易数量较敏感期前呈数十倍放大，投入资金远高于同期交易的其他股票，买入意愿十分强烈。龙煜文本人证券账户在信息敏感期前只买入“银禧科技”25万股，买入金额270.93万元，而在信息敏感期内买入253.18万股，净买入“银禧科技”139.48万股，净买入金额1597.6万元；当事人同时还通过借款6,000万元设立</w:t>
      </w:r>
      <w:proofErr w:type="gramStart"/>
      <w:r w:rsidRPr="001257CC">
        <w:rPr>
          <w:rFonts w:ascii="宋体" w:eastAsia="宋体" w:hAnsi="宋体" w:cs="宋体" w:hint="eastAsia"/>
          <w:color w:val="000000"/>
          <w:kern w:val="0"/>
          <w:szCs w:val="21"/>
        </w:rPr>
        <w:t>资管计划</w:t>
      </w:r>
      <w:proofErr w:type="gramEnd"/>
      <w:r w:rsidRPr="001257CC">
        <w:rPr>
          <w:rFonts w:ascii="宋体" w:eastAsia="宋体" w:hAnsi="宋体" w:cs="宋体" w:hint="eastAsia"/>
          <w:color w:val="000000"/>
          <w:kern w:val="0"/>
          <w:szCs w:val="21"/>
        </w:rPr>
        <w:t>并与中金公司进行收益互换的方式，加杠杆买入“银禧科技”1,104.55万余股，交易金额近1.5亿元；两项加总，当事人在信息敏感期内合计净买入“银禧科技”1,244万余股，投入资金高达1.66亿元。而同时期，龙煜文本人账户买入其他股票的峰值不到1,700万元。尽管龙煜文本人账户在信息敏感期内有卖出行为，但其卖出量仅占该期间</w:t>
      </w:r>
      <w:proofErr w:type="gramStart"/>
      <w:r w:rsidRPr="001257CC">
        <w:rPr>
          <w:rFonts w:ascii="宋体" w:eastAsia="宋体" w:hAnsi="宋体" w:cs="宋体" w:hint="eastAsia"/>
          <w:color w:val="000000"/>
          <w:kern w:val="0"/>
          <w:szCs w:val="21"/>
        </w:rPr>
        <w:t>买入总</w:t>
      </w:r>
      <w:proofErr w:type="gramEnd"/>
      <w:r w:rsidRPr="001257CC">
        <w:rPr>
          <w:rFonts w:ascii="宋体" w:eastAsia="宋体" w:hAnsi="宋体" w:cs="宋体" w:hint="eastAsia"/>
          <w:color w:val="000000"/>
          <w:kern w:val="0"/>
          <w:szCs w:val="21"/>
        </w:rPr>
        <w:t>股数的８%。由此，当事人交易“银禧科技”的数量、金额以及借款并加杠杆交易等情形足以说明其买入意愿之强烈、坚决。二是相关交易决策、实施时间与袁某宗、龙煜文和谭某斌联络、接触时间基本一致。如龙煜文在2016年2月24日与谭某斌通话，于2月底正式确定将“银禧科技”作为融资买入的标的。2016年3月8</w:t>
      </w:r>
      <w:r w:rsidRPr="001257CC">
        <w:rPr>
          <w:rFonts w:ascii="宋体" w:eastAsia="宋体" w:hAnsi="宋体" w:cs="宋体" w:hint="eastAsia"/>
          <w:color w:val="000000"/>
          <w:kern w:val="0"/>
          <w:szCs w:val="21"/>
        </w:rPr>
        <w:lastRenderedPageBreak/>
        <w:t>日，袁某宗与谭某斌通话1次。3月11日，龙煜文与南华期货签署</w:t>
      </w:r>
      <w:proofErr w:type="gramStart"/>
      <w:r w:rsidRPr="001257CC">
        <w:rPr>
          <w:rFonts w:ascii="宋体" w:eastAsia="宋体" w:hAnsi="宋体" w:cs="宋体" w:hint="eastAsia"/>
          <w:color w:val="000000"/>
          <w:kern w:val="0"/>
          <w:szCs w:val="21"/>
        </w:rPr>
        <w:t>了资管产品</w:t>
      </w:r>
      <w:proofErr w:type="gramEnd"/>
      <w:r w:rsidRPr="001257CC">
        <w:rPr>
          <w:rFonts w:ascii="宋体" w:eastAsia="宋体" w:hAnsi="宋体" w:cs="宋体" w:hint="eastAsia"/>
          <w:color w:val="000000"/>
          <w:kern w:val="0"/>
          <w:szCs w:val="21"/>
        </w:rPr>
        <w:t>合同，并让袁某华向其银行卡转入115.8万元。3月13日晚上，袁某宗与谭某斌通话5次。3月14日上午，龙煜文向南华期货转入115.8万元，正式成立南华期货光华15号资产管理计划。龙煜文本人账户也于2016年3月21日转入3,000万元，并于当日开始大量买入“银禧科技”。当事人辩称，其早在2015年底就向袁某宗筹借资金，案涉</w:t>
      </w:r>
      <w:proofErr w:type="gramStart"/>
      <w:r w:rsidRPr="001257CC">
        <w:rPr>
          <w:rFonts w:ascii="宋体" w:eastAsia="宋体" w:hAnsi="宋体" w:cs="宋体" w:hint="eastAsia"/>
          <w:color w:val="000000"/>
          <w:kern w:val="0"/>
          <w:szCs w:val="21"/>
        </w:rPr>
        <w:t>资管计划</w:t>
      </w:r>
      <w:proofErr w:type="gramEnd"/>
      <w:r w:rsidRPr="001257CC">
        <w:rPr>
          <w:rFonts w:ascii="宋体" w:eastAsia="宋体" w:hAnsi="宋体" w:cs="宋体" w:hint="eastAsia"/>
          <w:color w:val="000000"/>
          <w:kern w:val="0"/>
          <w:szCs w:val="21"/>
        </w:rPr>
        <w:t>亦在2015年底即着手准备。但据龙煜文本人及光大证券卢某业笔录，其最终确定标的为“银禧科技”并告诉卢某业系在2016年2月底、３月初。况且，龙煜文本人账户也是从2016年3月21日才开始买入“银禧科技”，当事人关于2015年底就做出交易决策的主张难以成立。以上事实足以证明当事人的交易行为明显异常。</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其四，当事人关于其基于银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公开信息、相关媒体报道及本人多年投资经验的综合判断做出交易决策的申辩，不足以构成对其明显异常的交易行为的合理说明。当事人在申辩中提出其大量买入“银禧科技”的主要理由包括：该公司为东莞本地上市公司，当事人所在圈子经常讨论、交易此类股票；该公司具有“3D打印概念、新苹果概念”；公司实际控制人</w:t>
      </w:r>
      <w:proofErr w:type="gramStart"/>
      <w:r w:rsidRPr="001257CC">
        <w:rPr>
          <w:rFonts w:ascii="宋体" w:eastAsia="宋体" w:hAnsi="宋体" w:cs="宋体" w:hint="eastAsia"/>
          <w:color w:val="000000"/>
          <w:kern w:val="0"/>
          <w:szCs w:val="21"/>
        </w:rPr>
        <w:t>多次增</w:t>
      </w:r>
      <w:proofErr w:type="gramEnd"/>
      <w:r w:rsidRPr="001257CC">
        <w:rPr>
          <w:rFonts w:ascii="宋体" w:eastAsia="宋体" w:hAnsi="宋体" w:cs="宋体" w:hint="eastAsia"/>
          <w:color w:val="000000"/>
          <w:kern w:val="0"/>
          <w:szCs w:val="21"/>
        </w:rPr>
        <w:t>持；2016年1月初公司发布净利润大幅增长的业绩预告；券商、机构投资者看好该股票；以及长辈袁某宗看好其发展，等等。我会认为，上述理由显然不能令人信服地解释，当事人在内幕信息敏感期内，通过筹集大笔资金并加杠杆交易“银禧科技”，合计净买入金额高达1.66亿元，且交易决策与实施时间与其本人、利益相关人同内幕信息知情人联络、接触时间基本一致等明显异常情形。</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其五，当事人关于其买入“银禧科技”的行为系基于事先订立的交易计划的申辩主张不能成立。构成内幕</w:t>
      </w:r>
      <w:proofErr w:type="gramStart"/>
      <w:r w:rsidRPr="001257CC">
        <w:rPr>
          <w:rFonts w:ascii="宋体" w:eastAsia="宋体" w:hAnsi="宋体" w:cs="宋体" w:hint="eastAsia"/>
          <w:color w:val="000000"/>
          <w:kern w:val="0"/>
          <w:szCs w:val="21"/>
        </w:rPr>
        <w:t>交易阻却事由</w:t>
      </w:r>
      <w:proofErr w:type="gramEnd"/>
      <w:r w:rsidRPr="001257CC">
        <w:rPr>
          <w:rFonts w:ascii="宋体" w:eastAsia="宋体" w:hAnsi="宋体" w:cs="宋体" w:hint="eastAsia"/>
          <w:color w:val="000000"/>
          <w:kern w:val="0"/>
          <w:szCs w:val="21"/>
        </w:rPr>
        <w:t>的交易计划，应当是时间、标的等各要素清晰确定、不可任意变更，</w:t>
      </w:r>
      <w:proofErr w:type="gramStart"/>
      <w:r w:rsidRPr="001257CC">
        <w:rPr>
          <w:rFonts w:ascii="宋体" w:eastAsia="宋体" w:hAnsi="宋体" w:cs="宋体" w:hint="eastAsia"/>
          <w:color w:val="000000"/>
          <w:kern w:val="0"/>
          <w:szCs w:val="21"/>
        </w:rPr>
        <w:t>且决策</w:t>
      </w:r>
      <w:proofErr w:type="gramEnd"/>
      <w:r w:rsidRPr="001257CC">
        <w:rPr>
          <w:rFonts w:ascii="宋体" w:eastAsia="宋体" w:hAnsi="宋体" w:cs="宋体" w:hint="eastAsia"/>
          <w:color w:val="000000"/>
          <w:kern w:val="0"/>
          <w:szCs w:val="21"/>
        </w:rPr>
        <w:t>基础与内幕信息无关的交易计划。本案中，当事人提交的其与光大证券卢某业的邮件等证据仅能证明，龙煜文在2月18日之前向光大证券业务人员表达了融资交易需求，并于2月18日了解到融资买入“银禧科技”的最大杠杆比例及名义本金2亿元的保证金金额等内容，而并不足以确定当事人将投入2亿元交易“银禧科技”，当事人辩称在内幕信息形成前已制定交易计划的主张缺乏有效证据支持。另一方面，本案调查过程中，龙煜文、卢某业在询问笔录中均认可龙煜文最终确定融资交易标的为“银禧科技”的时间是2016年２月底、3月初，该陈述与</w:t>
      </w:r>
      <w:proofErr w:type="gramStart"/>
      <w:r w:rsidRPr="001257CC">
        <w:rPr>
          <w:rFonts w:ascii="宋体" w:eastAsia="宋体" w:hAnsi="宋体" w:cs="宋体" w:hint="eastAsia"/>
          <w:color w:val="000000"/>
          <w:kern w:val="0"/>
          <w:szCs w:val="21"/>
        </w:rPr>
        <w:t>资管计划</w:t>
      </w:r>
      <w:proofErr w:type="gramEnd"/>
      <w:r w:rsidRPr="001257CC">
        <w:rPr>
          <w:rFonts w:ascii="宋体" w:eastAsia="宋体" w:hAnsi="宋体" w:cs="宋体" w:hint="eastAsia"/>
          <w:color w:val="000000"/>
          <w:kern w:val="0"/>
          <w:szCs w:val="21"/>
        </w:rPr>
        <w:t>于3月11日设立的客观事实较为一致，同时与当事人事先就融资购买“银禧科技”的杠杆比例进行问询的前一证据亦不矛盾，具有较高的可信度；相比之下当事人事后补充提交的证人证言真实性存疑，难以采信。</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其六，鉴于当事人于内幕信息敏感期的买入行为构成内幕交易，即便其在信息公开前反向卖出，其交易获利亦具有违法性，应一并计入内幕交易违法所得。当事人关于将信息公开前的卖出获利予以扣除的主张于法无据。另，其补充提交的盈利计算意见中，未将该期间银</w:t>
      </w:r>
      <w:proofErr w:type="gramStart"/>
      <w:r w:rsidRPr="001257CC">
        <w:rPr>
          <w:rFonts w:ascii="宋体" w:eastAsia="宋体" w:hAnsi="宋体" w:cs="宋体" w:hint="eastAsia"/>
          <w:color w:val="000000"/>
          <w:kern w:val="0"/>
          <w:szCs w:val="21"/>
        </w:rPr>
        <w:t>禧</w:t>
      </w:r>
      <w:proofErr w:type="gramEnd"/>
      <w:r w:rsidRPr="001257CC">
        <w:rPr>
          <w:rFonts w:ascii="宋体" w:eastAsia="宋体" w:hAnsi="宋体" w:cs="宋体" w:hint="eastAsia"/>
          <w:color w:val="000000"/>
          <w:kern w:val="0"/>
          <w:szCs w:val="21"/>
        </w:rPr>
        <w:t>科技公司的派息计算在内，导致其结果低于我会认定的违法所得。经复核，对该盈利计算意见不予采纳。</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综上，我会认为，在内幕信息敏感期内，当事人本人及通过利益相关人袁某宗与内幕信息知情人联络、接触，通过融资大量买入“银禧科技”，交易行为明显异常，而未能做出合理解释，亦未提供证据排除其实施内幕交易，应依法认定构成内幕交易并给予处罚。</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lastRenderedPageBreak/>
        <w:t>根据当事人违法行为的事实、性质、情节与社会危害程度，依据《证券法》第二百零二条的规定，我会决定：没收龙煜文违法所得30,904,502.87元，并处以92,713,508.61元罚款。</w:t>
      </w:r>
    </w:p>
    <w:p w:rsidR="001257CC" w:rsidRPr="001257CC" w:rsidRDefault="001257CC" w:rsidP="001257CC">
      <w:pPr>
        <w:widowControl/>
        <w:shd w:val="clear" w:color="auto" w:fill="FFFFFF"/>
        <w:spacing w:line="360" w:lineRule="atLeast"/>
        <w:ind w:firstLine="420"/>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当事人应自收到本处罚决定书之日起15日内，将罚没款汇交中国证券监督管理委员会（财政</w:t>
      </w:r>
      <w:proofErr w:type="gramStart"/>
      <w:r w:rsidRPr="001257CC">
        <w:rPr>
          <w:rFonts w:ascii="宋体" w:eastAsia="宋体" w:hAnsi="宋体" w:cs="宋体" w:hint="eastAsia"/>
          <w:color w:val="000000"/>
          <w:kern w:val="0"/>
          <w:szCs w:val="21"/>
        </w:rPr>
        <w:t>汇缴专户</w:t>
      </w:r>
      <w:proofErr w:type="gramEnd"/>
      <w:r w:rsidRPr="001257CC">
        <w:rPr>
          <w:rFonts w:ascii="宋体" w:eastAsia="宋体" w:hAnsi="宋体" w:cs="宋体" w:hint="eastAsia"/>
          <w:color w:val="000000"/>
          <w:kern w:val="0"/>
          <w:szCs w:val="21"/>
        </w:rPr>
        <w:t>），开户银行：中信银行总行营业部，账号：7111010189800000162，由该行直接上缴国库。当事人还应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1257CC" w:rsidRPr="001257CC" w:rsidRDefault="001257CC" w:rsidP="001257C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 xml:space="preserve">中国证监会　 　　</w:t>
      </w:r>
      <w:proofErr w:type="gramStart"/>
      <w:r w:rsidRPr="001257CC">
        <w:rPr>
          <w:rFonts w:ascii="宋体" w:eastAsia="宋体" w:hAnsi="宋体" w:cs="宋体" w:hint="eastAsia"/>
          <w:color w:val="000000"/>
          <w:kern w:val="0"/>
          <w:szCs w:val="21"/>
        </w:rPr>
        <w:t xml:space="preserve">　　</w:t>
      </w:r>
      <w:proofErr w:type="gramEnd"/>
    </w:p>
    <w:p w:rsidR="001257CC" w:rsidRPr="001257CC" w:rsidRDefault="001257CC" w:rsidP="001257C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257CC">
        <w:rPr>
          <w:rFonts w:ascii="宋体" w:eastAsia="宋体" w:hAnsi="宋体" w:cs="宋体" w:hint="eastAsia"/>
          <w:color w:val="000000"/>
          <w:kern w:val="0"/>
          <w:szCs w:val="21"/>
        </w:rPr>
        <w:t xml:space="preserve">2019年4月25日　　</w:t>
      </w:r>
      <w:proofErr w:type="gramStart"/>
      <w:r w:rsidRPr="001257CC">
        <w:rPr>
          <w:rFonts w:ascii="宋体" w:eastAsia="宋体" w:hAnsi="宋体" w:cs="宋体" w:hint="eastAsia"/>
          <w:color w:val="000000"/>
          <w:kern w:val="0"/>
          <w:szCs w:val="21"/>
        </w:rPr>
        <w:t xml:space="preserve">　　</w:t>
      </w:r>
      <w:proofErr w:type="gramEnd"/>
    </w:p>
    <w:p w:rsidR="001257CC" w:rsidRPr="001257CC" w:rsidRDefault="001257CC" w:rsidP="001257C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1257CC" w:rsidRPr="001257CC" w:rsidTr="001257CC">
        <w:trPr>
          <w:tblCellSpacing w:w="15" w:type="dxa"/>
          <w:jc w:val="center"/>
        </w:trPr>
        <w:tc>
          <w:tcPr>
            <w:tcW w:w="900" w:type="dxa"/>
            <w:vAlign w:val="center"/>
            <w:hideMark/>
          </w:tcPr>
          <w:p w:rsidR="001257CC" w:rsidRPr="001257CC" w:rsidRDefault="001257CC" w:rsidP="001257CC">
            <w:pPr>
              <w:widowControl/>
              <w:jc w:val="left"/>
              <w:rPr>
                <w:rFonts w:ascii="宋体" w:eastAsia="宋体" w:hAnsi="宋体" w:cs="宋体" w:hint="eastAsia"/>
                <w:kern w:val="0"/>
                <w:sz w:val="18"/>
                <w:szCs w:val="18"/>
              </w:rPr>
            </w:pPr>
            <w:r w:rsidRPr="001257CC">
              <w:rPr>
                <w:rFonts w:ascii="宋体" w:eastAsia="宋体" w:hAnsi="宋体" w:cs="宋体"/>
                <w:kern w:val="0"/>
                <w:sz w:val="18"/>
                <w:szCs w:val="18"/>
              </w:rPr>
              <w:t> </w:t>
            </w:r>
          </w:p>
        </w:tc>
        <w:tc>
          <w:tcPr>
            <w:tcW w:w="1200" w:type="dxa"/>
            <w:vAlign w:val="center"/>
            <w:hideMark/>
          </w:tcPr>
          <w:p w:rsidR="001257CC" w:rsidRPr="001257CC" w:rsidRDefault="001257CC" w:rsidP="001257CC">
            <w:pPr>
              <w:widowControl/>
              <w:jc w:val="left"/>
              <w:rPr>
                <w:rFonts w:ascii="宋体" w:eastAsia="宋体" w:hAnsi="宋体" w:cs="宋体"/>
                <w:kern w:val="0"/>
                <w:sz w:val="18"/>
                <w:szCs w:val="18"/>
              </w:rPr>
            </w:pPr>
            <w:r w:rsidRPr="001257C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257CC" w:rsidRPr="001257CC" w:rsidRDefault="001257CC" w:rsidP="001257CC">
            <w:pPr>
              <w:widowControl/>
              <w:jc w:val="left"/>
              <w:rPr>
                <w:rFonts w:ascii="宋体" w:eastAsia="宋体" w:hAnsi="宋体" w:cs="宋体"/>
                <w:kern w:val="0"/>
                <w:sz w:val="18"/>
                <w:szCs w:val="18"/>
              </w:rPr>
            </w:pPr>
            <w:r w:rsidRPr="001257C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257CC" w:rsidRPr="001257CC" w:rsidRDefault="001257CC" w:rsidP="001257CC">
            <w:pPr>
              <w:widowControl/>
              <w:jc w:val="left"/>
              <w:rPr>
                <w:rFonts w:ascii="宋体" w:eastAsia="宋体" w:hAnsi="宋体" w:cs="宋体"/>
                <w:kern w:val="0"/>
                <w:sz w:val="18"/>
                <w:szCs w:val="18"/>
              </w:rPr>
            </w:pPr>
            <w:r w:rsidRPr="001257C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1257CC" w:rsidRPr="001257CC" w:rsidRDefault="001257CC" w:rsidP="001257CC">
      <w:pPr>
        <w:widowControl/>
        <w:jc w:val="center"/>
        <w:rPr>
          <w:rFonts w:ascii="微软雅黑" w:eastAsia="微软雅黑" w:hAnsi="微软雅黑" w:cs="宋体"/>
          <w:color w:val="515151"/>
          <w:kern w:val="0"/>
          <w:sz w:val="18"/>
          <w:szCs w:val="18"/>
        </w:rPr>
      </w:pPr>
      <w:hyperlink r:id="rId11" w:tgtFrame="_blank" w:history="1">
        <w:r w:rsidRPr="001257CC">
          <w:rPr>
            <w:rFonts w:ascii="微软雅黑" w:eastAsia="微软雅黑" w:hAnsi="微软雅黑" w:cs="宋体" w:hint="eastAsia"/>
            <w:color w:val="0000FF"/>
            <w:kern w:val="0"/>
            <w:sz w:val="18"/>
            <w:szCs w:val="18"/>
            <w:u w:val="single"/>
          </w:rPr>
          <w:t>关于我们</w:t>
        </w:r>
      </w:hyperlink>
      <w:r w:rsidRPr="001257CC">
        <w:rPr>
          <w:rFonts w:ascii="微软雅黑" w:eastAsia="微软雅黑" w:hAnsi="微软雅黑" w:cs="宋体" w:hint="eastAsia"/>
          <w:color w:val="515151"/>
          <w:kern w:val="0"/>
          <w:sz w:val="18"/>
          <w:szCs w:val="18"/>
        </w:rPr>
        <w:t> - </w:t>
      </w:r>
      <w:hyperlink r:id="rId12" w:tgtFrame="_blank" w:history="1">
        <w:r w:rsidRPr="001257CC">
          <w:rPr>
            <w:rFonts w:ascii="微软雅黑" w:eastAsia="微软雅黑" w:hAnsi="微软雅黑" w:cs="宋体" w:hint="eastAsia"/>
            <w:color w:val="0000FF"/>
            <w:kern w:val="0"/>
            <w:sz w:val="18"/>
            <w:szCs w:val="18"/>
            <w:u w:val="single"/>
          </w:rPr>
          <w:t>法律声明</w:t>
        </w:r>
      </w:hyperlink>
      <w:r w:rsidRPr="001257CC">
        <w:rPr>
          <w:rFonts w:ascii="微软雅黑" w:eastAsia="微软雅黑" w:hAnsi="微软雅黑" w:cs="宋体" w:hint="eastAsia"/>
          <w:color w:val="515151"/>
          <w:kern w:val="0"/>
          <w:sz w:val="18"/>
          <w:szCs w:val="18"/>
        </w:rPr>
        <w:t> - </w:t>
      </w:r>
      <w:hyperlink r:id="rId13" w:tgtFrame="_blank" w:history="1">
        <w:r w:rsidRPr="001257CC">
          <w:rPr>
            <w:rFonts w:ascii="微软雅黑" w:eastAsia="微软雅黑" w:hAnsi="微软雅黑" w:cs="宋体" w:hint="eastAsia"/>
            <w:color w:val="0000FF"/>
            <w:kern w:val="0"/>
            <w:sz w:val="18"/>
            <w:szCs w:val="18"/>
            <w:u w:val="single"/>
          </w:rPr>
          <w:t>联系我们</w:t>
        </w:r>
      </w:hyperlink>
    </w:p>
    <w:p w:rsidR="001257CC" w:rsidRPr="001257CC" w:rsidRDefault="001257CC" w:rsidP="001257CC">
      <w:pPr>
        <w:widowControl/>
        <w:jc w:val="center"/>
        <w:rPr>
          <w:rFonts w:ascii="微软雅黑" w:eastAsia="微软雅黑" w:hAnsi="微软雅黑" w:cs="宋体" w:hint="eastAsia"/>
          <w:color w:val="515151"/>
          <w:kern w:val="0"/>
          <w:sz w:val="18"/>
          <w:szCs w:val="18"/>
        </w:rPr>
      </w:pPr>
      <w:r w:rsidRPr="001257CC">
        <w:rPr>
          <w:rFonts w:ascii="微软雅黑" w:eastAsia="微软雅黑" w:hAnsi="微软雅黑" w:cs="宋体" w:hint="eastAsia"/>
          <w:color w:val="515151"/>
          <w:kern w:val="0"/>
          <w:sz w:val="18"/>
          <w:szCs w:val="18"/>
        </w:rPr>
        <w:t>版权所有：中国证券监督管理委员会 京ICP备 05035542号</w:t>
      </w:r>
    </w:p>
    <w:p w:rsidR="001257CC" w:rsidRPr="001257CC" w:rsidRDefault="001257CC" w:rsidP="001257CC">
      <w:pPr>
        <w:widowControl/>
        <w:jc w:val="center"/>
        <w:rPr>
          <w:rFonts w:ascii="微软雅黑" w:eastAsia="微软雅黑" w:hAnsi="微软雅黑" w:cs="宋体" w:hint="eastAsia"/>
          <w:color w:val="515151"/>
          <w:kern w:val="0"/>
          <w:sz w:val="18"/>
          <w:szCs w:val="18"/>
        </w:rPr>
      </w:pPr>
      <w:r w:rsidRPr="001257CC">
        <w:rPr>
          <w:rFonts w:ascii="微软雅黑" w:eastAsia="微软雅黑" w:hAnsi="微软雅黑" w:cs="宋体" w:hint="eastAsia"/>
          <w:color w:val="515151"/>
          <w:kern w:val="0"/>
          <w:sz w:val="18"/>
          <w:szCs w:val="18"/>
        </w:rPr>
        <w:t>地址：北京市西城区金融大街19号富凯大厦A座 邮编：100033</w:t>
      </w:r>
    </w:p>
    <w:p w:rsidR="001257CC" w:rsidRPr="001257CC" w:rsidRDefault="001257CC" w:rsidP="001257CC">
      <w:pPr>
        <w:widowControl/>
        <w:jc w:val="center"/>
        <w:rPr>
          <w:rFonts w:ascii="微软雅黑" w:eastAsia="微软雅黑" w:hAnsi="微软雅黑" w:cs="宋体" w:hint="eastAsia"/>
          <w:color w:val="515151"/>
          <w:kern w:val="0"/>
          <w:sz w:val="18"/>
          <w:szCs w:val="18"/>
        </w:rPr>
      </w:pPr>
      <w:r w:rsidRPr="001257CC">
        <w:rPr>
          <w:rFonts w:ascii="微软雅黑" w:eastAsia="微软雅黑" w:hAnsi="微软雅黑" w:cs="宋体" w:hint="eastAsia"/>
          <w:color w:val="515151"/>
          <w:kern w:val="0"/>
          <w:sz w:val="18"/>
          <w:szCs w:val="18"/>
        </w:rPr>
        <w:t>建议使用IE5.5以上浏览器，分辨率1024*768</w:t>
      </w:r>
    </w:p>
    <w:p w:rsidR="00F84852" w:rsidRPr="001257CC" w:rsidRDefault="00F84852"/>
    <w:sectPr w:rsidR="00F84852" w:rsidRPr="00125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CC"/>
    <w:rsid w:val="001257CC"/>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32136-E8CF-443F-9532-4BE8BF5A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57C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257CC"/>
    <w:rPr>
      <w:b/>
      <w:bCs/>
    </w:rPr>
  </w:style>
  <w:style w:type="paragraph" w:customStyle="1" w:styleId="p0">
    <w:name w:val="p0"/>
    <w:basedOn w:val="a"/>
    <w:rsid w:val="001257C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257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707490">
      <w:bodyDiv w:val="1"/>
      <w:marLeft w:val="0"/>
      <w:marRight w:val="0"/>
      <w:marTop w:val="0"/>
      <w:marBottom w:val="0"/>
      <w:divBdr>
        <w:top w:val="none" w:sz="0" w:space="0" w:color="auto"/>
        <w:left w:val="none" w:sz="0" w:space="0" w:color="auto"/>
        <w:bottom w:val="none" w:sz="0" w:space="0" w:color="auto"/>
        <w:right w:val="none" w:sz="0" w:space="0" w:color="auto"/>
      </w:divBdr>
      <w:divsChild>
        <w:div w:id="1374386815">
          <w:marLeft w:val="0"/>
          <w:marRight w:val="0"/>
          <w:marTop w:val="150"/>
          <w:marBottom w:val="150"/>
          <w:divBdr>
            <w:top w:val="none" w:sz="0" w:space="0" w:color="auto"/>
            <w:left w:val="none" w:sz="0" w:space="0" w:color="auto"/>
            <w:bottom w:val="none" w:sz="0" w:space="0" w:color="auto"/>
            <w:right w:val="none" w:sz="0" w:space="0" w:color="auto"/>
          </w:divBdr>
        </w:div>
        <w:div w:id="2039506603">
          <w:marLeft w:val="0"/>
          <w:marRight w:val="0"/>
          <w:marTop w:val="0"/>
          <w:marBottom w:val="0"/>
          <w:divBdr>
            <w:top w:val="single" w:sz="6" w:space="8" w:color="B5B5B5"/>
            <w:left w:val="single" w:sz="6" w:space="0" w:color="B5B5B5"/>
            <w:bottom w:val="single" w:sz="6" w:space="8" w:color="B5B5B5"/>
            <w:right w:val="single" w:sz="6" w:space="0" w:color="B5B5B5"/>
          </w:divBdr>
          <w:divsChild>
            <w:div w:id="132527939">
              <w:marLeft w:val="0"/>
              <w:marRight w:val="0"/>
              <w:marTop w:val="0"/>
              <w:marBottom w:val="0"/>
              <w:divBdr>
                <w:top w:val="none" w:sz="0" w:space="0" w:color="auto"/>
                <w:left w:val="none" w:sz="0" w:space="0" w:color="auto"/>
                <w:bottom w:val="none" w:sz="0" w:space="0" w:color="auto"/>
                <w:right w:val="none" w:sz="0" w:space="0" w:color="auto"/>
              </w:divBdr>
            </w:div>
            <w:div w:id="1931884417">
              <w:marLeft w:val="0"/>
              <w:marRight w:val="0"/>
              <w:marTop w:val="0"/>
              <w:marBottom w:val="0"/>
              <w:divBdr>
                <w:top w:val="none" w:sz="0" w:space="0" w:color="auto"/>
                <w:left w:val="none" w:sz="0" w:space="0" w:color="auto"/>
                <w:bottom w:val="none" w:sz="0" w:space="0" w:color="auto"/>
                <w:right w:val="none" w:sz="0" w:space="0" w:color="auto"/>
              </w:divBdr>
              <w:divsChild>
                <w:div w:id="666517581">
                  <w:marLeft w:val="0"/>
                  <w:marRight w:val="0"/>
                  <w:marTop w:val="0"/>
                  <w:marBottom w:val="0"/>
                  <w:divBdr>
                    <w:top w:val="none" w:sz="0" w:space="0" w:color="auto"/>
                    <w:left w:val="none" w:sz="0" w:space="0" w:color="auto"/>
                    <w:bottom w:val="none" w:sz="0" w:space="0" w:color="auto"/>
                    <w:right w:val="none" w:sz="0" w:space="0" w:color="auto"/>
                  </w:divBdr>
                </w:div>
              </w:divsChild>
            </w:div>
            <w:div w:id="12073694">
              <w:marLeft w:val="0"/>
              <w:marRight w:val="0"/>
              <w:marTop w:val="120"/>
              <w:marBottom w:val="120"/>
              <w:divBdr>
                <w:top w:val="none" w:sz="0" w:space="0" w:color="auto"/>
                <w:left w:val="none" w:sz="0" w:space="0" w:color="auto"/>
                <w:bottom w:val="none" w:sz="0" w:space="0" w:color="auto"/>
                <w:right w:val="none" w:sz="0" w:space="0" w:color="auto"/>
              </w:divBdr>
            </w:div>
          </w:divsChild>
        </w:div>
        <w:div w:id="770861332">
          <w:marLeft w:val="0"/>
          <w:marRight w:val="0"/>
          <w:marTop w:val="120"/>
          <w:marBottom w:val="0"/>
          <w:divBdr>
            <w:top w:val="none" w:sz="0" w:space="0" w:color="auto"/>
            <w:left w:val="none" w:sz="0" w:space="0" w:color="auto"/>
            <w:bottom w:val="none" w:sz="0" w:space="0" w:color="auto"/>
            <w:right w:val="none" w:sz="0" w:space="0" w:color="auto"/>
          </w:divBdr>
          <w:divsChild>
            <w:div w:id="1466312584">
              <w:marLeft w:val="0"/>
              <w:marRight w:val="0"/>
              <w:marTop w:val="60"/>
              <w:marBottom w:val="0"/>
              <w:divBdr>
                <w:top w:val="none" w:sz="0" w:space="0" w:color="auto"/>
                <w:left w:val="none" w:sz="0" w:space="0" w:color="auto"/>
                <w:bottom w:val="none" w:sz="0" w:space="0" w:color="auto"/>
                <w:right w:val="none" w:sz="0" w:space="0" w:color="auto"/>
              </w:divBdr>
            </w:div>
            <w:div w:id="481234907">
              <w:marLeft w:val="0"/>
              <w:marRight w:val="0"/>
              <w:marTop w:val="60"/>
              <w:marBottom w:val="0"/>
              <w:divBdr>
                <w:top w:val="none" w:sz="0" w:space="0" w:color="auto"/>
                <w:left w:val="none" w:sz="0" w:space="0" w:color="auto"/>
                <w:bottom w:val="none" w:sz="0" w:space="0" w:color="auto"/>
                <w:right w:val="none" w:sz="0" w:space="0" w:color="auto"/>
              </w:divBdr>
            </w:div>
            <w:div w:id="1586455529">
              <w:marLeft w:val="0"/>
              <w:marRight w:val="0"/>
              <w:marTop w:val="60"/>
              <w:marBottom w:val="0"/>
              <w:divBdr>
                <w:top w:val="none" w:sz="0" w:space="0" w:color="auto"/>
                <w:left w:val="none" w:sz="0" w:space="0" w:color="auto"/>
                <w:bottom w:val="none" w:sz="0" w:space="0" w:color="auto"/>
                <w:right w:val="none" w:sz="0" w:space="0" w:color="auto"/>
              </w:divBdr>
            </w:div>
            <w:div w:id="21081852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5/t20190527_35641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2020-02-14T15:10:00Z</dcterms:created>
  <dcterms:modified xsi:type="dcterms:W3CDTF">2020-02-14T15:11:00Z</dcterms:modified>
</cp:coreProperties>
</file>