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AB2" w:rsidRPr="00702AB2" w:rsidRDefault="00702AB2" w:rsidP="00702AB2">
      <w:pPr>
        <w:widowControl/>
        <w:jc w:val="center"/>
        <w:rPr>
          <w:rFonts w:ascii="微软雅黑" w:eastAsia="微软雅黑" w:hAnsi="微软雅黑" w:cs="宋体"/>
          <w:color w:val="000000"/>
          <w:kern w:val="0"/>
          <w:sz w:val="18"/>
          <w:szCs w:val="18"/>
        </w:rPr>
      </w:pPr>
      <w:r w:rsidRPr="00702AB2">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702AB2" w:rsidRPr="00702AB2" w:rsidTr="00702AB2">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02AB2" w:rsidRPr="00702AB2">
              <w:trPr>
                <w:tblCellSpacing w:w="0" w:type="dxa"/>
              </w:trPr>
              <w:tc>
                <w:tcPr>
                  <w:tcW w:w="2500" w:type="pct"/>
                  <w:tcMar>
                    <w:top w:w="30" w:type="dxa"/>
                    <w:left w:w="30" w:type="dxa"/>
                    <w:bottom w:w="30" w:type="dxa"/>
                    <w:right w:w="30" w:type="dxa"/>
                  </w:tcMar>
                  <w:hideMark/>
                </w:tcPr>
                <w:p w:rsidR="00702AB2" w:rsidRPr="00702AB2" w:rsidRDefault="00702AB2" w:rsidP="00702AB2">
                  <w:pPr>
                    <w:widowControl/>
                    <w:jc w:val="left"/>
                    <w:rPr>
                      <w:rFonts w:ascii="宋体" w:eastAsia="宋体" w:hAnsi="宋体" w:cs="宋体" w:hint="eastAsia"/>
                      <w:color w:val="686868"/>
                      <w:kern w:val="0"/>
                      <w:sz w:val="18"/>
                      <w:szCs w:val="18"/>
                    </w:rPr>
                  </w:pPr>
                  <w:r w:rsidRPr="00702AB2">
                    <w:rPr>
                      <w:rFonts w:ascii="宋体" w:eastAsia="宋体" w:hAnsi="宋体" w:cs="宋体"/>
                      <w:b/>
                      <w:bCs/>
                      <w:color w:val="686868"/>
                      <w:kern w:val="0"/>
                      <w:sz w:val="18"/>
                      <w:szCs w:val="18"/>
                    </w:rPr>
                    <w:t>索 引 号:</w:t>
                  </w:r>
                  <w:r w:rsidRPr="00702AB2">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702AB2" w:rsidRPr="00702AB2" w:rsidRDefault="00702AB2" w:rsidP="00702AB2">
                  <w:pPr>
                    <w:widowControl/>
                    <w:jc w:val="left"/>
                    <w:rPr>
                      <w:rFonts w:ascii="宋体" w:eastAsia="宋体" w:hAnsi="宋体" w:cs="宋体"/>
                      <w:color w:val="686868"/>
                      <w:kern w:val="0"/>
                      <w:sz w:val="18"/>
                      <w:szCs w:val="18"/>
                    </w:rPr>
                  </w:pPr>
                  <w:r w:rsidRPr="00702AB2">
                    <w:rPr>
                      <w:rFonts w:ascii="宋体" w:eastAsia="宋体" w:hAnsi="宋体" w:cs="宋体"/>
                      <w:b/>
                      <w:bCs/>
                      <w:color w:val="686868"/>
                      <w:kern w:val="0"/>
                      <w:sz w:val="18"/>
                      <w:szCs w:val="18"/>
                    </w:rPr>
                    <w:t>分类:</w:t>
                  </w:r>
                  <w:r w:rsidRPr="00702AB2">
                    <w:rPr>
                      <w:rFonts w:ascii="宋体" w:eastAsia="宋体" w:hAnsi="宋体" w:cs="宋体"/>
                      <w:color w:val="686868"/>
                      <w:kern w:val="0"/>
                      <w:sz w:val="18"/>
                      <w:szCs w:val="18"/>
                    </w:rPr>
                    <w:t> 行政处罚 ; 行政处罚决定</w:t>
                  </w:r>
                </w:p>
              </w:tc>
            </w:tr>
          </w:tbl>
          <w:p w:rsidR="00702AB2" w:rsidRPr="00702AB2" w:rsidRDefault="00702AB2" w:rsidP="00702AB2">
            <w:pPr>
              <w:widowControl/>
              <w:jc w:val="left"/>
              <w:rPr>
                <w:rFonts w:ascii="宋体" w:eastAsia="宋体" w:hAnsi="宋体" w:cs="宋体"/>
                <w:color w:val="686868"/>
                <w:kern w:val="0"/>
                <w:sz w:val="18"/>
                <w:szCs w:val="18"/>
              </w:rPr>
            </w:pPr>
          </w:p>
        </w:tc>
      </w:tr>
      <w:tr w:rsidR="00702AB2" w:rsidRPr="00702AB2" w:rsidTr="00702AB2">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02AB2" w:rsidRPr="00702AB2">
              <w:trPr>
                <w:tblCellSpacing w:w="0" w:type="dxa"/>
              </w:trPr>
              <w:tc>
                <w:tcPr>
                  <w:tcW w:w="2500" w:type="pct"/>
                  <w:tcMar>
                    <w:top w:w="30" w:type="dxa"/>
                    <w:left w:w="30" w:type="dxa"/>
                    <w:bottom w:w="30" w:type="dxa"/>
                    <w:right w:w="30" w:type="dxa"/>
                  </w:tcMar>
                  <w:hideMark/>
                </w:tcPr>
                <w:p w:rsidR="00702AB2" w:rsidRPr="00702AB2" w:rsidRDefault="00702AB2" w:rsidP="00702AB2">
                  <w:pPr>
                    <w:widowControl/>
                    <w:jc w:val="left"/>
                    <w:rPr>
                      <w:rFonts w:ascii="宋体" w:eastAsia="宋体" w:hAnsi="宋体" w:cs="宋体"/>
                      <w:color w:val="686868"/>
                      <w:kern w:val="0"/>
                      <w:sz w:val="18"/>
                      <w:szCs w:val="18"/>
                    </w:rPr>
                  </w:pPr>
                  <w:r w:rsidRPr="00702AB2">
                    <w:rPr>
                      <w:rFonts w:ascii="宋体" w:eastAsia="宋体" w:hAnsi="宋体" w:cs="宋体"/>
                      <w:b/>
                      <w:bCs/>
                      <w:color w:val="686868"/>
                      <w:kern w:val="0"/>
                      <w:sz w:val="18"/>
                      <w:szCs w:val="18"/>
                    </w:rPr>
                    <w:t>发布机构:</w:t>
                  </w:r>
                  <w:r w:rsidRPr="00702AB2">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702AB2" w:rsidRPr="00702AB2" w:rsidRDefault="00702AB2" w:rsidP="00702AB2">
                  <w:pPr>
                    <w:widowControl/>
                    <w:jc w:val="left"/>
                    <w:rPr>
                      <w:rFonts w:ascii="宋体" w:eastAsia="宋体" w:hAnsi="宋体" w:cs="宋体"/>
                      <w:color w:val="686868"/>
                      <w:kern w:val="0"/>
                      <w:sz w:val="18"/>
                      <w:szCs w:val="18"/>
                    </w:rPr>
                  </w:pPr>
                  <w:r w:rsidRPr="00702AB2">
                    <w:rPr>
                      <w:rFonts w:ascii="宋体" w:eastAsia="宋体" w:hAnsi="宋体" w:cs="宋体"/>
                      <w:b/>
                      <w:bCs/>
                      <w:color w:val="686868"/>
                      <w:kern w:val="0"/>
                      <w:sz w:val="18"/>
                      <w:szCs w:val="18"/>
                    </w:rPr>
                    <w:t>发文日期:</w:t>
                  </w:r>
                  <w:r w:rsidRPr="00702AB2">
                    <w:rPr>
                      <w:rFonts w:ascii="宋体" w:eastAsia="宋体" w:hAnsi="宋体" w:cs="宋体"/>
                      <w:color w:val="686868"/>
                      <w:kern w:val="0"/>
                      <w:sz w:val="18"/>
                      <w:szCs w:val="18"/>
                    </w:rPr>
                    <w:t> 2019年04月30日</w:t>
                  </w:r>
                </w:p>
              </w:tc>
            </w:tr>
          </w:tbl>
          <w:p w:rsidR="00702AB2" w:rsidRPr="00702AB2" w:rsidRDefault="00702AB2" w:rsidP="00702AB2">
            <w:pPr>
              <w:widowControl/>
              <w:jc w:val="left"/>
              <w:rPr>
                <w:rFonts w:ascii="宋体" w:eastAsia="宋体" w:hAnsi="宋体" w:cs="宋体"/>
                <w:color w:val="686868"/>
                <w:kern w:val="0"/>
                <w:sz w:val="18"/>
                <w:szCs w:val="18"/>
              </w:rPr>
            </w:pPr>
          </w:p>
        </w:tc>
      </w:tr>
      <w:tr w:rsidR="00702AB2" w:rsidRPr="00702AB2" w:rsidTr="00702AB2">
        <w:trPr>
          <w:tblCellSpacing w:w="0" w:type="dxa"/>
        </w:trPr>
        <w:tc>
          <w:tcPr>
            <w:tcW w:w="0" w:type="auto"/>
            <w:tcMar>
              <w:top w:w="30" w:type="dxa"/>
              <w:left w:w="30" w:type="dxa"/>
              <w:bottom w:w="30" w:type="dxa"/>
              <w:right w:w="30" w:type="dxa"/>
            </w:tcMar>
            <w:hideMark/>
          </w:tcPr>
          <w:p w:rsidR="00702AB2" w:rsidRPr="00702AB2" w:rsidRDefault="00702AB2" w:rsidP="00702AB2">
            <w:pPr>
              <w:widowControl/>
              <w:jc w:val="left"/>
              <w:rPr>
                <w:rFonts w:ascii="宋体" w:eastAsia="宋体" w:hAnsi="宋体" w:cs="宋体"/>
                <w:color w:val="686868"/>
                <w:kern w:val="0"/>
                <w:sz w:val="18"/>
                <w:szCs w:val="18"/>
              </w:rPr>
            </w:pPr>
            <w:r w:rsidRPr="00702AB2">
              <w:rPr>
                <w:rFonts w:ascii="宋体" w:eastAsia="宋体" w:hAnsi="宋体" w:cs="宋体"/>
                <w:b/>
                <w:bCs/>
                <w:color w:val="686868"/>
                <w:kern w:val="0"/>
                <w:sz w:val="18"/>
                <w:szCs w:val="18"/>
              </w:rPr>
              <w:t>名　　称:</w:t>
            </w:r>
            <w:r w:rsidRPr="00702AB2">
              <w:rPr>
                <w:rFonts w:ascii="宋体" w:eastAsia="宋体" w:hAnsi="宋体" w:cs="宋体"/>
                <w:color w:val="686868"/>
                <w:kern w:val="0"/>
                <w:sz w:val="18"/>
                <w:szCs w:val="18"/>
              </w:rPr>
              <w:t> 中国证监会行政处罚决定书（王永琴）</w:t>
            </w:r>
          </w:p>
        </w:tc>
      </w:tr>
      <w:tr w:rsidR="00702AB2" w:rsidRPr="00702AB2" w:rsidTr="00702AB2">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02AB2" w:rsidRPr="00702AB2">
              <w:trPr>
                <w:tblCellSpacing w:w="0" w:type="dxa"/>
              </w:trPr>
              <w:tc>
                <w:tcPr>
                  <w:tcW w:w="2500" w:type="pct"/>
                  <w:tcMar>
                    <w:top w:w="30" w:type="dxa"/>
                    <w:left w:w="30" w:type="dxa"/>
                    <w:bottom w:w="30" w:type="dxa"/>
                    <w:right w:w="30" w:type="dxa"/>
                  </w:tcMar>
                  <w:hideMark/>
                </w:tcPr>
                <w:p w:rsidR="00702AB2" w:rsidRPr="00702AB2" w:rsidRDefault="00702AB2" w:rsidP="00702AB2">
                  <w:pPr>
                    <w:widowControl/>
                    <w:jc w:val="left"/>
                    <w:rPr>
                      <w:rFonts w:ascii="宋体" w:eastAsia="宋体" w:hAnsi="宋体" w:cs="宋体"/>
                      <w:color w:val="686868"/>
                      <w:kern w:val="0"/>
                      <w:sz w:val="18"/>
                      <w:szCs w:val="18"/>
                    </w:rPr>
                  </w:pPr>
                  <w:r w:rsidRPr="00702AB2">
                    <w:rPr>
                      <w:rFonts w:ascii="宋体" w:eastAsia="宋体" w:hAnsi="宋体" w:cs="宋体"/>
                      <w:b/>
                      <w:bCs/>
                      <w:color w:val="686868"/>
                      <w:kern w:val="0"/>
                      <w:sz w:val="18"/>
                      <w:szCs w:val="18"/>
                    </w:rPr>
                    <w:t>文　　号:</w:t>
                  </w:r>
                  <w:r w:rsidRPr="00702AB2">
                    <w:rPr>
                      <w:rFonts w:ascii="宋体" w:eastAsia="宋体" w:hAnsi="宋体" w:cs="宋体"/>
                      <w:color w:val="686868"/>
                      <w:kern w:val="0"/>
                      <w:sz w:val="18"/>
                      <w:szCs w:val="18"/>
                    </w:rPr>
                    <w:t> 〔2019〕32号</w:t>
                  </w:r>
                  <w:bookmarkStart w:id="0" w:name="_GoBack"/>
                  <w:bookmarkEnd w:id="0"/>
                </w:p>
              </w:tc>
              <w:tc>
                <w:tcPr>
                  <w:tcW w:w="0" w:type="auto"/>
                  <w:tcMar>
                    <w:top w:w="30" w:type="dxa"/>
                    <w:left w:w="30" w:type="dxa"/>
                    <w:bottom w:w="30" w:type="dxa"/>
                    <w:right w:w="30" w:type="dxa"/>
                  </w:tcMar>
                  <w:hideMark/>
                </w:tcPr>
                <w:p w:rsidR="00702AB2" w:rsidRPr="00702AB2" w:rsidRDefault="00702AB2" w:rsidP="00702AB2">
                  <w:pPr>
                    <w:widowControl/>
                    <w:jc w:val="left"/>
                    <w:rPr>
                      <w:rFonts w:ascii="宋体" w:eastAsia="宋体" w:hAnsi="宋体" w:cs="宋体"/>
                      <w:color w:val="686868"/>
                      <w:kern w:val="0"/>
                      <w:sz w:val="18"/>
                      <w:szCs w:val="18"/>
                    </w:rPr>
                  </w:pPr>
                  <w:r w:rsidRPr="00702AB2">
                    <w:rPr>
                      <w:rFonts w:ascii="宋体" w:eastAsia="宋体" w:hAnsi="宋体" w:cs="宋体"/>
                      <w:b/>
                      <w:bCs/>
                      <w:color w:val="686868"/>
                      <w:kern w:val="0"/>
                      <w:sz w:val="18"/>
                      <w:szCs w:val="18"/>
                    </w:rPr>
                    <w:t>主 题 词:</w:t>
                  </w:r>
                </w:p>
              </w:tc>
            </w:tr>
          </w:tbl>
          <w:p w:rsidR="00702AB2" w:rsidRPr="00702AB2" w:rsidRDefault="00702AB2" w:rsidP="00702AB2">
            <w:pPr>
              <w:widowControl/>
              <w:jc w:val="left"/>
              <w:rPr>
                <w:rFonts w:ascii="宋体" w:eastAsia="宋体" w:hAnsi="宋体" w:cs="宋体"/>
                <w:color w:val="686868"/>
                <w:kern w:val="0"/>
                <w:sz w:val="18"/>
                <w:szCs w:val="18"/>
              </w:rPr>
            </w:pPr>
          </w:p>
        </w:tc>
      </w:tr>
    </w:tbl>
    <w:p w:rsidR="00702AB2" w:rsidRPr="00702AB2" w:rsidRDefault="00702AB2" w:rsidP="00702AB2">
      <w:pPr>
        <w:widowControl/>
        <w:jc w:val="center"/>
        <w:rPr>
          <w:rFonts w:ascii="微软雅黑" w:eastAsia="微软雅黑" w:hAnsi="微软雅黑" w:cs="宋体"/>
          <w:color w:val="000000"/>
          <w:kern w:val="0"/>
          <w:sz w:val="18"/>
          <w:szCs w:val="18"/>
        </w:rPr>
      </w:pPr>
      <w:r w:rsidRPr="00702AB2">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702AB2" w:rsidRPr="00702AB2" w:rsidRDefault="00702AB2" w:rsidP="00702AB2">
      <w:pPr>
        <w:widowControl/>
        <w:shd w:val="clear" w:color="auto" w:fill="FFFFFF"/>
        <w:spacing w:after="240"/>
        <w:jc w:val="center"/>
        <w:rPr>
          <w:rFonts w:ascii="微软雅黑" w:eastAsia="微软雅黑" w:hAnsi="微软雅黑" w:cs="宋体" w:hint="eastAsia"/>
          <w:color w:val="000000"/>
          <w:kern w:val="0"/>
          <w:sz w:val="18"/>
          <w:szCs w:val="18"/>
        </w:rPr>
      </w:pPr>
      <w:r w:rsidRPr="00702AB2">
        <w:rPr>
          <w:rFonts w:ascii="微软雅黑" w:eastAsia="微软雅黑" w:hAnsi="微软雅黑" w:cs="宋体" w:hint="eastAsia"/>
          <w:color w:val="000000"/>
          <w:kern w:val="0"/>
          <w:sz w:val="18"/>
          <w:szCs w:val="18"/>
        </w:rPr>
        <w:br/>
      </w:r>
      <w:r w:rsidRPr="00702AB2">
        <w:rPr>
          <w:rFonts w:ascii="黑体" w:eastAsia="黑体" w:hAnsi="黑体" w:cs="宋体" w:hint="eastAsia"/>
          <w:b/>
          <w:bCs/>
          <w:color w:val="FF0000"/>
          <w:kern w:val="0"/>
          <w:sz w:val="36"/>
          <w:szCs w:val="36"/>
        </w:rPr>
        <w:t>中国证监会行政处罚决定书（王永琴）</w:t>
      </w:r>
    </w:p>
    <w:p w:rsidR="00702AB2" w:rsidRPr="00702AB2" w:rsidRDefault="00702AB2" w:rsidP="00702AB2">
      <w:pPr>
        <w:widowControl/>
        <w:shd w:val="clear" w:color="auto" w:fill="FFFFFF"/>
        <w:spacing w:line="360" w:lineRule="atLeast"/>
        <w:jc w:val="center"/>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〔2019〕32号</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Calibri" w:eastAsia="楷体" w:hAnsi="Calibri" w:cs="Calibri"/>
          <w:color w:val="000000"/>
          <w:kern w:val="0"/>
          <w:sz w:val="24"/>
          <w:szCs w:val="24"/>
        </w:rPr>
        <w:t> </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当事人：王永琴，女，1979年12月出生，住址：浙江省杭州市余杭区。</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依据《中华人民共和国证券法》（以下简称《证券法》）的有关规定，我会对王永琴内幕交易浙江巨龙管业股份有限公司（现已更名为艾格拉斯股份有限公司，以下简称巨龙管业）股票的行为进行了立案调查、审理，并依法向当事人告知了</w:t>
      </w:r>
      <w:proofErr w:type="gramStart"/>
      <w:r w:rsidRPr="00702AB2">
        <w:rPr>
          <w:rFonts w:ascii="宋体" w:eastAsia="宋体" w:hAnsi="宋体" w:cs="宋体" w:hint="eastAsia"/>
          <w:color w:val="000000"/>
          <w:kern w:val="0"/>
          <w:szCs w:val="21"/>
        </w:rPr>
        <w:t>作出</w:t>
      </w:r>
      <w:proofErr w:type="gramEnd"/>
      <w:r w:rsidRPr="00702AB2">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经查明，王永琴存在以下违法事实：</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一、内幕信息的形成与公开</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2015年10月，巨龙管业开始停牌策划收购杭州</w:t>
      </w:r>
      <w:proofErr w:type="gramStart"/>
      <w:r w:rsidRPr="00702AB2">
        <w:rPr>
          <w:rFonts w:ascii="宋体" w:eastAsia="宋体" w:hAnsi="宋体" w:cs="宋体" w:hint="eastAsia"/>
          <w:color w:val="000000"/>
          <w:kern w:val="0"/>
          <w:szCs w:val="21"/>
        </w:rPr>
        <w:t>搜影科技</w:t>
      </w:r>
      <w:proofErr w:type="gramEnd"/>
      <w:r w:rsidRPr="00702AB2">
        <w:rPr>
          <w:rFonts w:ascii="宋体" w:eastAsia="宋体" w:hAnsi="宋体" w:cs="宋体" w:hint="eastAsia"/>
          <w:color w:val="000000"/>
          <w:kern w:val="0"/>
          <w:szCs w:val="21"/>
        </w:rPr>
        <w:t>有限公司（以下简称杭州搜影）和北京拇指玩科技有限公司（以下简称北京拇指玩）各100%股权的重大资产重组事项。</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2016年11月2日，经中国证监会上市公司并购重组审核委员会审核，巨龙管</w:t>
      </w:r>
      <w:proofErr w:type="gramStart"/>
      <w:r w:rsidRPr="00702AB2">
        <w:rPr>
          <w:rFonts w:ascii="宋体" w:eastAsia="宋体" w:hAnsi="宋体" w:cs="宋体" w:hint="eastAsia"/>
          <w:color w:val="000000"/>
          <w:kern w:val="0"/>
          <w:szCs w:val="21"/>
        </w:rPr>
        <w:t>业收购杭州搜影</w:t>
      </w:r>
      <w:proofErr w:type="gramEnd"/>
      <w:r w:rsidRPr="00702AB2">
        <w:rPr>
          <w:rFonts w:ascii="宋体" w:eastAsia="宋体" w:hAnsi="宋体" w:cs="宋体" w:hint="eastAsia"/>
          <w:color w:val="000000"/>
          <w:kern w:val="0"/>
          <w:szCs w:val="21"/>
        </w:rPr>
        <w:t>和北京拇指玩各100%股权的重大资产重组事项未获审核通过。</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2016年11月2日下午，现场参与上会的各方人员讨论初步商定要继续推进重大资产重组。</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2016年11月3日，巨龙管业召开董事会决定继续推进重大资产重组并发布公告。</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2016年11月7日，巨龙管业主要负责本次收购项目的副董事长王某义、董事刘某玉与财务顾问华泰联合证券有限责任公司（以下简称华泰联合证券）有关人员召开了中介协调会，讨论并确定准备第二次重组上会的修改方案。当天，相关修改方案也告知</w:t>
      </w:r>
      <w:proofErr w:type="gramStart"/>
      <w:r w:rsidRPr="00702AB2">
        <w:rPr>
          <w:rFonts w:ascii="宋体" w:eastAsia="宋体" w:hAnsi="宋体" w:cs="宋体" w:hint="eastAsia"/>
          <w:color w:val="000000"/>
          <w:kern w:val="0"/>
          <w:szCs w:val="21"/>
        </w:rPr>
        <w:t>杭州搜影法定</w:t>
      </w:r>
      <w:proofErr w:type="gramEnd"/>
      <w:r w:rsidRPr="00702AB2">
        <w:rPr>
          <w:rFonts w:ascii="宋体" w:eastAsia="宋体" w:hAnsi="宋体" w:cs="宋体" w:hint="eastAsia"/>
          <w:color w:val="000000"/>
          <w:kern w:val="0"/>
          <w:szCs w:val="21"/>
        </w:rPr>
        <w:t>代表人</w:t>
      </w:r>
      <w:proofErr w:type="gramStart"/>
      <w:r w:rsidRPr="00702AB2">
        <w:rPr>
          <w:rFonts w:ascii="宋体" w:eastAsia="宋体" w:hAnsi="宋体" w:cs="宋体" w:hint="eastAsia"/>
          <w:color w:val="000000"/>
          <w:kern w:val="0"/>
          <w:szCs w:val="21"/>
        </w:rPr>
        <w:t>王某锋和</w:t>
      </w:r>
      <w:proofErr w:type="gramEnd"/>
      <w:r w:rsidRPr="00702AB2">
        <w:rPr>
          <w:rFonts w:ascii="宋体" w:eastAsia="宋体" w:hAnsi="宋体" w:cs="宋体" w:hint="eastAsia"/>
          <w:color w:val="000000"/>
          <w:kern w:val="0"/>
          <w:szCs w:val="21"/>
        </w:rPr>
        <w:t>北京拇指玩总经理李某等，王</w:t>
      </w:r>
      <w:proofErr w:type="gramStart"/>
      <w:r w:rsidRPr="00702AB2">
        <w:rPr>
          <w:rFonts w:ascii="宋体" w:eastAsia="宋体" w:hAnsi="宋体" w:cs="宋体" w:hint="eastAsia"/>
          <w:color w:val="000000"/>
          <w:kern w:val="0"/>
          <w:szCs w:val="21"/>
        </w:rPr>
        <w:t>某锋同意</w:t>
      </w:r>
      <w:proofErr w:type="gramEnd"/>
      <w:r w:rsidRPr="00702AB2">
        <w:rPr>
          <w:rFonts w:ascii="宋体" w:eastAsia="宋体" w:hAnsi="宋体" w:cs="宋体" w:hint="eastAsia"/>
          <w:color w:val="000000"/>
          <w:kern w:val="0"/>
          <w:szCs w:val="21"/>
        </w:rPr>
        <w:t>中介进场调查开展工作，以免耽误重组进度。</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2016年11月8日至12月6日期间，</w:t>
      </w:r>
      <w:proofErr w:type="gramStart"/>
      <w:r w:rsidRPr="00702AB2">
        <w:rPr>
          <w:rFonts w:ascii="宋体" w:eastAsia="宋体" w:hAnsi="宋体" w:cs="宋体" w:hint="eastAsia"/>
          <w:color w:val="000000"/>
          <w:kern w:val="0"/>
          <w:szCs w:val="21"/>
        </w:rPr>
        <w:t>杭州搜影和</w:t>
      </w:r>
      <w:proofErr w:type="gramEnd"/>
      <w:r w:rsidRPr="00702AB2">
        <w:rPr>
          <w:rFonts w:ascii="宋体" w:eastAsia="宋体" w:hAnsi="宋体" w:cs="宋体" w:hint="eastAsia"/>
          <w:color w:val="000000"/>
          <w:kern w:val="0"/>
          <w:szCs w:val="21"/>
        </w:rPr>
        <w:t>北京拇指</w:t>
      </w:r>
      <w:proofErr w:type="gramStart"/>
      <w:r w:rsidRPr="00702AB2">
        <w:rPr>
          <w:rFonts w:ascii="宋体" w:eastAsia="宋体" w:hAnsi="宋体" w:cs="宋体" w:hint="eastAsia"/>
          <w:color w:val="000000"/>
          <w:kern w:val="0"/>
          <w:szCs w:val="21"/>
        </w:rPr>
        <w:t>玩一直</w:t>
      </w:r>
      <w:proofErr w:type="gramEnd"/>
      <w:r w:rsidRPr="00702AB2">
        <w:rPr>
          <w:rFonts w:ascii="宋体" w:eastAsia="宋体" w:hAnsi="宋体" w:cs="宋体" w:hint="eastAsia"/>
          <w:color w:val="000000"/>
          <w:kern w:val="0"/>
          <w:szCs w:val="21"/>
        </w:rPr>
        <w:t>在与巨龙管业沟通修改后的方案。</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2016年11月9日，中介机构陆续进场尽职调查并准备资料。</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lastRenderedPageBreak/>
        <w:t>2016年11月30日，王某义、刘某玉和中间人阮某见面商谈，谈了双方的真实想法等，王某义也让阮某继续做王</w:t>
      </w:r>
      <w:proofErr w:type="gramStart"/>
      <w:r w:rsidRPr="00702AB2">
        <w:rPr>
          <w:rFonts w:ascii="宋体" w:eastAsia="宋体" w:hAnsi="宋体" w:cs="宋体" w:hint="eastAsia"/>
          <w:color w:val="000000"/>
          <w:kern w:val="0"/>
          <w:szCs w:val="21"/>
        </w:rPr>
        <w:t>某锋相关</w:t>
      </w:r>
      <w:proofErr w:type="gramEnd"/>
      <w:r w:rsidRPr="00702AB2">
        <w:rPr>
          <w:rFonts w:ascii="宋体" w:eastAsia="宋体" w:hAnsi="宋体" w:cs="宋体" w:hint="eastAsia"/>
          <w:color w:val="000000"/>
          <w:kern w:val="0"/>
          <w:szCs w:val="21"/>
        </w:rPr>
        <w:t>工作。</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2016年12月6日，王</w:t>
      </w:r>
      <w:proofErr w:type="gramStart"/>
      <w:r w:rsidRPr="00702AB2">
        <w:rPr>
          <w:rFonts w:ascii="宋体" w:eastAsia="宋体" w:hAnsi="宋体" w:cs="宋体" w:hint="eastAsia"/>
          <w:color w:val="000000"/>
          <w:kern w:val="0"/>
          <w:szCs w:val="21"/>
        </w:rPr>
        <w:t>某锋赴</w:t>
      </w:r>
      <w:proofErr w:type="gramEnd"/>
      <w:r w:rsidRPr="00702AB2">
        <w:rPr>
          <w:rFonts w:ascii="宋体" w:eastAsia="宋体" w:hAnsi="宋体" w:cs="宋体" w:hint="eastAsia"/>
          <w:color w:val="000000"/>
          <w:kern w:val="0"/>
          <w:szCs w:val="21"/>
        </w:rPr>
        <w:t>北京与王某义进行了深入的磋商，经磋商，双方就方案修改基本达成一致。王</w:t>
      </w:r>
      <w:proofErr w:type="gramStart"/>
      <w:r w:rsidRPr="00702AB2">
        <w:rPr>
          <w:rFonts w:ascii="宋体" w:eastAsia="宋体" w:hAnsi="宋体" w:cs="宋体" w:hint="eastAsia"/>
          <w:color w:val="000000"/>
          <w:kern w:val="0"/>
          <w:szCs w:val="21"/>
        </w:rPr>
        <w:t>某锋回到</w:t>
      </w:r>
      <w:proofErr w:type="gramEnd"/>
      <w:r w:rsidRPr="00702AB2">
        <w:rPr>
          <w:rFonts w:ascii="宋体" w:eastAsia="宋体" w:hAnsi="宋体" w:cs="宋体" w:hint="eastAsia"/>
          <w:color w:val="000000"/>
          <w:kern w:val="0"/>
          <w:szCs w:val="21"/>
        </w:rPr>
        <w:t>杭州与杭州</w:t>
      </w:r>
      <w:proofErr w:type="gramStart"/>
      <w:r w:rsidRPr="00702AB2">
        <w:rPr>
          <w:rFonts w:ascii="宋体" w:eastAsia="宋体" w:hAnsi="宋体" w:cs="宋体" w:hint="eastAsia"/>
          <w:color w:val="000000"/>
          <w:kern w:val="0"/>
          <w:szCs w:val="21"/>
        </w:rPr>
        <w:t>搜影包括董某启</w:t>
      </w:r>
      <w:proofErr w:type="gramEnd"/>
      <w:r w:rsidRPr="00702AB2">
        <w:rPr>
          <w:rFonts w:ascii="宋体" w:eastAsia="宋体" w:hAnsi="宋体" w:cs="宋体" w:hint="eastAsia"/>
          <w:color w:val="000000"/>
          <w:kern w:val="0"/>
          <w:szCs w:val="21"/>
        </w:rPr>
        <w:t>在内的三名股东商量后，三名股东也基本同意。</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2016年12月6日至12月15日，中介机构陆续完成相关报证监会资料的草稿，同时包括</w:t>
      </w:r>
      <w:proofErr w:type="gramStart"/>
      <w:r w:rsidRPr="00702AB2">
        <w:rPr>
          <w:rFonts w:ascii="宋体" w:eastAsia="宋体" w:hAnsi="宋体" w:cs="宋体" w:hint="eastAsia"/>
          <w:color w:val="000000"/>
          <w:kern w:val="0"/>
          <w:szCs w:val="21"/>
        </w:rPr>
        <w:t>杭州搜影在内</w:t>
      </w:r>
      <w:proofErr w:type="gramEnd"/>
      <w:r w:rsidRPr="00702AB2">
        <w:rPr>
          <w:rFonts w:ascii="宋体" w:eastAsia="宋体" w:hAnsi="宋体" w:cs="宋体" w:hint="eastAsia"/>
          <w:color w:val="000000"/>
          <w:kern w:val="0"/>
          <w:szCs w:val="21"/>
        </w:rPr>
        <w:t>的交易各方及相关人员也在收购的相关协议文件上签字。</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2016年12月15日上午，王某义和刘某玉与吕某高（时任巨龙管业董事长、法定代表人）、郑某（时任巨龙管业董事、董事会秘书）沟通了重大资产重组二次上会的相关事项。</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2016年12月16日，华泰联合证券完成了重组报告书初稿，发给其他中介机构、巨龙管业、杭州搜影、北京拇指</w:t>
      </w:r>
      <w:proofErr w:type="gramStart"/>
      <w:r w:rsidRPr="00702AB2">
        <w:rPr>
          <w:rFonts w:ascii="宋体" w:eastAsia="宋体" w:hAnsi="宋体" w:cs="宋体" w:hint="eastAsia"/>
          <w:color w:val="000000"/>
          <w:kern w:val="0"/>
          <w:szCs w:val="21"/>
        </w:rPr>
        <w:t>玩各方</w:t>
      </w:r>
      <w:proofErr w:type="gramEnd"/>
      <w:r w:rsidRPr="00702AB2">
        <w:rPr>
          <w:rFonts w:ascii="宋体" w:eastAsia="宋体" w:hAnsi="宋体" w:cs="宋体" w:hint="eastAsia"/>
          <w:color w:val="000000"/>
          <w:kern w:val="0"/>
          <w:szCs w:val="21"/>
        </w:rPr>
        <w:t>相关人员，由各方审核并提出修改意见。</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2016年12月16日至12月20日，相关中介机构继续完善相关资料并各自完成相关内核等程序。</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2016年12月20日，巨龙管业召开董事会与监事会，发布重大资产重组停牌公告。</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2016年12月21日，巨龙管业公告了相关重大资产重组的草案。</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巨龙管业2016年11月3日公告的继续推进重组事项，即购买</w:t>
      </w:r>
      <w:proofErr w:type="gramStart"/>
      <w:r w:rsidRPr="00702AB2">
        <w:rPr>
          <w:rFonts w:ascii="宋体" w:eastAsia="宋体" w:hAnsi="宋体" w:cs="宋体" w:hint="eastAsia"/>
          <w:color w:val="000000"/>
          <w:kern w:val="0"/>
          <w:szCs w:val="21"/>
        </w:rPr>
        <w:t>杭州搜影和</w:t>
      </w:r>
      <w:proofErr w:type="gramEnd"/>
      <w:r w:rsidRPr="00702AB2">
        <w:rPr>
          <w:rFonts w:ascii="宋体" w:eastAsia="宋体" w:hAnsi="宋体" w:cs="宋体" w:hint="eastAsia"/>
          <w:color w:val="000000"/>
          <w:kern w:val="0"/>
          <w:szCs w:val="21"/>
        </w:rPr>
        <w:t>北京拇指玩各100%股权，标的资产经审计的资产净额及最近一年的营业收入占上市公司最近一个会计年度经审计的合并财务报告相关指标的比例分别为60.22%和52.86%，且标的资产净额超过5,000万元，根据《上市公司重大资产重组管理办法》（证监会令第127号）第十二条第一款第二项、第三项的规定，构成上市公司重大资产重组行为，属于《证券法》第六十七条第二款第二项“公司的重大投资行为和重大的购置财产的决定”。巨龙管业2016年12月21日公告的重组草案，是2016年11月3日披露的重大事件出现的可能对上市公司证券交易价格产生较大影响的进展，根据《上市公司信息披露管理办法》（证监会令第40号）第三十二条的规定，</w:t>
      </w:r>
      <w:proofErr w:type="gramStart"/>
      <w:r w:rsidRPr="00702AB2">
        <w:rPr>
          <w:rFonts w:ascii="宋体" w:eastAsia="宋体" w:hAnsi="宋体" w:cs="宋体" w:hint="eastAsia"/>
          <w:color w:val="000000"/>
          <w:kern w:val="0"/>
          <w:szCs w:val="21"/>
        </w:rPr>
        <w:t>该进展</w:t>
      </w:r>
      <w:proofErr w:type="gramEnd"/>
      <w:r w:rsidRPr="00702AB2">
        <w:rPr>
          <w:rFonts w:ascii="宋体" w:eastAsia="宋体" w:hAnsi="宋体" w:cs="宋体" w:hint="eastAsia"/>
          <w:color w:val="000000"/>
          <w:kern w:val="0"/>
          <w:szCs w:val="21"/>
        </w:rPr>
        <w:t>构成《证券法》第六十七条第二款第十二项规定应及时披露的重大事件，该信息公开前属于《证券法》第七十五条第二款第一项规定的内幕信息。内幕信息形成于2016年11月7日，公开于2016年12月21日（以下简称内幕信息敏感期）。</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二、王永琴实际控制“郑某敏”账户、“张某平”账户内幕交易“巨龙管业”的情况</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（一）王永琴是内幕信息知情人的配偶，与内幕信息知情人关系密切</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王</w:t>
      </w:r>
      <w:proofErr w:type="gramStart"/>
      <w:r w:rsidRPr="00702AB2">
        <w:rPr>
          <w:rFonts w:ascii="宋体" w:eastAsia="宋体" w:hAnsi="宋体" w:cs="宋体" w:hint="eastAsia"/>
          <w:color w:val="000000"/>
          <w:kern w:val="0"/>
          <w:szCs w:val="21"/>
        </w:rPr>
        <w:t>某锋是杭州搜影</w:t>
      </w:r>
      <w:proofErr w:type="gramEnd"/>
      <w:r w:rsidRPr="00702AB2">
        <w:rPr>
          <w:rFonts w:ascii="宋体" w:eastAsia="宋体" w:hAnsi="宋体" w:cs="宋体" w:hint="eastAsia"/>
          <w:color w:val="000000"/>
          <w:kern w:val="0"/>
          <w:szCs w:val="21"/>
        </w:rPr>
        <w:t>的创始股东和时任董事长，是本次重组项目杭州</w:t>
      </w:r>
      <w:proofErr w:type="gramStart"/>
      <w:r w:rsidRPr="00702AB2">
        <w:rPr>
          <w:rFonts w:ascii="宋体" w:eastAsia="宋体" w:hAnsi="宋体" w:cs="宋体" w:hint="eastAsia"/>
          <w:color w:val="000000"/>
          <w:kern w:val="0"/>
          <w:szCs w:val="21"/>
        </w:rPr>
        <w:t>搜影方</w:t>
      </w:r>
      <w:proofErr w:type="gramEnd"/>
      <w:r w:rsidRPr="00702AB2">
        <w:rPr>
          <w:rFonts w:ascii="宋体" w:eastAsia="宋体" w:hAnsi="宋体" w:cs="宋体" w:hint="eastAsia"/>
          <w:color w:val="000000"/>
          <w:kern w:val="0"/>
          <w:szCs w:val="21"/>
        </w:rPr>
        <w:t>主要负责人，为内幕信息知情人。2016年11月7日巨龙管业将二次上会修改方案通知了王某锋，</w:t>
      </w:r>
      <w:proofErr w:type="gramStart"/>
      <w:r w:rsidRPr="00702AB2">
        <w:rPr>
          <w:rFonts w:ascii="宋体" w:eastAsia="宋体" w:hAnsi="宋体" w:cs="宋体" w:hint="eastAsia"/>
          <w:color w:val="000000"/>
          <w:kern w:val="0"/>
          <w:szCs w:val="21"/>
        </w:rPr>
        <w:t>王某锋从</w:t>
      </w:r>
      <w:proofErr w:type="gramEnd"/>
      <w:r w:rsidRPr="00702AB2">
        <w:rPr>
          <w:rFonts w:ascii="宋体" w:eastAsia="宋体" w:hAnsi="宋体" w:cs="宋体" w:hint="eastAsia"/>
          <w:color w:val="000000"/>
          <w:kern w:val="0"/>
          <w:szCs w:val="21"/>
        </w:rPr>
        <w:t>该日起知悉内幕信息。</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王永琴是</w:t>
      </w:r>
      <w:proofErr w:type="gramStart"/>
      <w:r w:rsidRPr="00702AB2">
        <w:rPr>
          <w:rFonts w:ascii="宋体" w:eastAsia="宋体" w:hAnsi="宋体" w:cs="宋体" w:hint="eastAsia"/>
          <w:color w:val="000000"/>
          <w:kern w:val="0"/>
          <w:szCs w:val="21"/>
        </w:rPr>
        <w:t>王某锋的</w:t>
      </w:r>
      <w:proofErr w:type="gramEnd"/>
      <w:r w:rsidRPr="00702AB2">
        <w:rPr>
          <w:rFonts w:ascii="宋体" w:eastAsia="宋体" w:hAnsi="宋体" w:cs="宋体" w:hint="eastAsia"/>
          <w:color w:val="000000"/>
          <w:kern w:val="0"/>
          <w:szCs w:val="21"/>
        </w:rPr>
        <w:t>配偶，二人共同生活，关系密切，且王永琴承认，大约2016年11月初至12月底，几次在家里听到</w:t>
      </w:r>
      <w:proofErr w:type="gramStart"/>
      <w:r w:rsidRPr="00702AB2">
        <w:rPr>
          <w:rFonts w:ascii="宋体" w:eastAsia="宋体" w:hAnsi="宋体" w:cs="宋体" w:hint="eastAsia"/>
          <w:color w:val="000000"/>
          <w:kern w:val="0"/>
          <w:szCs w:val="21"/>
        </w:rPr>
        <w:t>王某锋打电话</w:t>
      </w:r>
      <w:proofErr w:type="gramEnd"/>
      <w:r w:rsidRPr="00702AB2">
        <w:rPr>
          <w:rFonts w:ascii="宋体" w:eastAsia="宋体" w:hAnsi="宋体" w:cs="宋体" w:hint="eastAsia"/>
          <w:color w:val="000000"/>
          <w:kern w:val="0"/>
          <w:szCs w:val="21"/>
        </w:rPr>
        <w:t>与别人讨论</w:t>
      </w:r>
      <w:proofErr w:type="gramStart"/>
      <w:r w:rsidRPr="00702AB2">
        <w:rPr>
          <w:rFonts w:ascii="宋体" w:eastAsia="宋体" w:hAnsi="宋体" w:cs="宋体" w:hint="eastAsia"/>
          <w:color w:val="000000"/>
          <w:kern w:val="0"/>
          <w:szCs w:val="21"/>
        </w:rPr>
        <w:t>杭州搜影并购</w:t>
      </w:r>
      <w:proofErr w:type="gramEnd"/>
      <w:r w:rsidRPr="00702AB2">
        <w:rPr>
          <w:rFonts w:ascii="宋体" w:eastAsia="宋体" w:hAnsi="宋体" w:cs="宋体" w:hint="eastAsia"/>
          <w:color w:val="000000"/>
          <w:kern w:val="0"/>
          <w:szCs w:val="21"/>
        </w:rPr>
        <w:t>重组的事情，并问过</w:t>
      </w:r>
      <w:proofErr w:type="gramStart"/>
      <w:r w:rsidRPr="00702AB2">
        <w:rPr>
          <w:rFonts w:ascii="宋体" w:eastAsia="宋体" w:hAnsi="宋体" w:cs="宋体" w:hint="eastAsia"/>
          <w:color w:val="000000"/>
          <w:kern w:val="0"/>
          <w:szCs w:val="21"/>
        </w:rPr>
        <w:t>王某锋并购</w:t>
      </w:r>
      <w:proofErr w:type="gramEnd"/>
      <w:r w:rsidRPr="00702AB2">
        <w:rPr>
          <w:rFonts w:ascii="宋体" w:eastAsia="宋体" w:hAnsi="宋体" w:cs="宋体" w:hint="eastAsia"/>
          <w:color w:val="000000"/>
          <w:kern w:val="0"/>
          <w:szCs w:val="21"/>
        </w:rPr>
        <w:t>重组的意思以及巨龙管业并购重组后的前景，自己萌生了买“巨龙管业”的想法。</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（二）王永琴实际控制“郑某敏”账户、“张某平”账户内幕交易“巨龙管业”</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1. 王永琴实际控制“郑某敏”账户内幕交易“巨龙管业”</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“郑某敏”账户于1998年2月19日开立于财通证券有限责任公司（以下简称财通证券）杭州庆春路营业部。2016年12月10日左右，张某平根据王永琴买入“巨龙管业”的</w:t>
      </w:r>
      <w:r w:rsidRPr="00702AB2">
        <w:rPr>
          <w:rFonts w:ascii="宋体" w:eastAsia="宋体" w:hAnsi="宋体" w:cs="宋体" w:hint="eastAsia"/>
          <w:color w:val="000000"/>
          <w:kern w:val="0"/>
          <w:szCs w:val="21"/>
        </w:rPr>
        <w:lastRenderedPageBreak/>
        <w:t>要求开始借用“郑某敏”账户，自此</w:t>
      </w:r>
      <w:proofErr w:type="gramStart"/>
      <w:r w:rsidRPr="00702AB2">
        <w:rPr>
          <w:rFonts w:ascii="宋体" w:eastAsia="宋体" w:hAnsi="宋体" w:cs="宋体" w:hint="eastAsia"/>
          <w:color w:val="000000"/>
          <w:kern w:val="0"/>
          <w:szCs w:val="21"/>
        </w:rPr>
        <w:t>至调查日</w:t>
      </w:r>
      <w:proofErr w:type="gramEnd"/>
      <w:r w:rsidRPr="00702AB2">
        <w:rPr>
          <w:rFonts w:ascii="宋体" w:eastAsia="宋体" w:hAnsi="宋体" w:cs="宋体" w:hint="eastAsia"/>
          <w:color w:val="000000"/>
          <w:kern w:val="0"/>
          <w:szCs w:val="21"/>
        </w:rPr>
        <w:t>，该账户和对应的同名三方存管银行账户均由张某</w:t>
      </w:r>
      <w:proofErr w:type="gramStart"/>
      <w:r w:rsidRPr="00702AB2">
        <w:rPr>
          <w:rFonts w:ascii="宋体" w:eastAsia="宋体" w:hAnsi="宋体" w:cs="宋体" w:hint="eastAsia"/>
          <w:color w:val="000000"/>
          <w:kern w:val="0"/>
          <w:szCs w:val="21"/>
        </w:rPr>
        <w:t>平控制</w:t>
      </w:r>
      <w:proofErr w:type="gramEnd"/>
      <w:r w:rsidRPr="00702AB2">
        <w:rPr>
          <w:rFonts w:ascii="宋体" w:eastAsia="宋体" w:hAnsi="宋体" w:cs="宋体" w:hint="eastAsia"/>
          <w:color w:val="000000"/>
          <w:kern w:val="0"/>
          <w:szCs w:val="21"/>
        </w:rPr>
        <w:t>使用。</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根据王永琴买入“巨龙管业”的决策要求，张某</w:t>
      </w:r>
      <w:proofErr w:type="gramStart"/>
      <w:r w:rsidRPr="00702AB2">
        <w:rPr>
          <w:rFonts w:ascii="宋体" w:eastAsia="宋体" w:hAnsi="宋体" w:cs="宋体" w:hint="eastAsia"/>
          <w:color w:val="000000"/>
          <w:kern w:val="0"/>
          <w:szCs w:val="21"/>
        </w:rPr>
        <w:t>平使用</w:t>
      </w:r>
      <w:proofErr w:type="gramEnd"/>
      <w:r w:rsidRPr="00702AB2">
        <w:rPr>
          <w:rFonts w:ascii="宋体" w:eastAsia="宋体" w:hAnsi="宋体" w:cs="宋体" w:hint="eastAsia"/>
          <w:color w:val="000000"/>
          <w:kern w:val="0"/>
          <w:szCs w:val="21"/>
        </w:rPr>
        <w:t>“郑某敏”账户通过本人尾号5424的手机操作下单，内幕信息敏感期内，于2016年12月16日、19日买入“巨龙管业”共计232,535股，成交金额共计4,986,670.75元。内幕信息公开后，于2017年12月19日全部卖出。“郑某敏”账户内幕交易“巨龙管业”亏损2,295,875.12元。</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“郑某敏”账户在内幕信息敏感期内用于买入“巨龙管业”的资金为</w:t>
      </w:r>
      <w:proofErr w:type="gramStart"/>
      <w:r w:rsidRPr="00702AB2">
        <w:rPr>
          <w:rFonts w:ascii="宋体" w:eastAsia="宋体" w:hAnsi="宋体" w:cs="宋体" w:hint="eastAsia"/>
          <w:color w:val="000000"/>
          <w:kern w:val="0"/>
          <w:szCs w:val="21"/>
        </w:rPr>
        <w:t>王某锋和</w:t>
      </w:r>
      <w:proofErr w:type="gramEnd"/>
      <w:r w:rsidRPr="00702AB2">
        <w:rPr>
          <w:rFonts w:ascii="宋体" w:eastAsia="宋体" w:hAnsi="宋体" w:cs="宋体" w:hint="eastAsia"/>
          <w:color w:val="000000"/>
          <w:kern w:val="0"/>
          <w:szCs w:val="21"/>
        </w:rPr>
        <w:t>王永琴的家庭共有财产。</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2. 王永琴实际控制“张某平”账户内幕交易“巨龙管业”</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“张某平”账户于2016年11月8日开立于财通证券杭州文二西路证券营业部，该账户和对应的同名三方存管银行由张某平本人控制使用。</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根据王永琴买入“巨龙管业”的决策要求，张某</w:t>
      </w:r>
      <w:proofErr w:type="gramStart"/>
      <w:r w:rsidRPr="00702AB2">
        <w:rPr>
          <w:rFonts w:ascii="宋体" w:eastAsia="宋体" w:hAnsi="宋体" w:cs="宋体" w:hint="eastAsia"/>
          <w:color w:val="000000"/>
          <w:kern w:val="0"/>
          <w:szCs w:val="21"/>
        </w:rPr>
        <w:t>平使用</w:t>
      </w:r>
      <w:proofErr w:type="gramEnd"/>
      <w:r w:rsidRPr="00702AB2">
        <w:rPr>
          <w:rFonts w:ascii="宋体" w:eastAsia="宋体" w:hAnsi="宋体" w:cs="宋体" w:hint="eastAsia"/>
          <w:color w:val="000000"/>
          <w:kern w:val="0"/>
          <w:szCs w:val="21"/>
        </w:rPr>
        <w:t>“张某平”账户通过本人尾号5424的手机操作下单，内幕信息敏感期内，于2016年12月13日至15日买入“巨龙管业”共计47,200股，成交金额共计998,266元。内幕信息公开后，于2017年12月19日卖出31,100股。“张某平”账户内幕交易“巨龙管业”盈利21,426.52元。</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“张某平”账户在内幕信息敏感期内用于买入“巨龙管业”的资金，主要来源于“张某平”账户对应的同名三方存管银行账户理财产品赎回，是张某平根据王永琴要求对</w:t>
      </w:r>
      <w:proofErr w:type="gramStart"/>
      <w:r w:rsidRPr="00702AB2">
        <w:rPr>
          <w:rFonts w:ascii="宋体" w:eastAsia="宋体" w:hAnsi="宋体" w:cs="宋体" w:hint="eastAsia"/>
          <w:color w:val="000000"/>
          <w:kern w:val="0"/>
          <w:szCs w:val="21"/>
        </w:rPr>
        <w:t>王某锋的</w:t>
      </w:r>
      <w:proofErr w:type="gramEnd"/>
      <w:r w:rsidRPr="00702AB2">
        <w:rPr>
          <w:rFonts w:ascii="宋体" w:eastAsia="宋体" w:hAnsi="宋体" w:cs="宋体" w:hint="eastAsia"/>
          <w:color w:val="000000"/>
          <w:kern w:val="0"/>
          <w:szCs w:val="21"/>
        </w:rPr>
        <w:t>还款。</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王永琴指使张某</w:t>
      </w:r>
      <w:proofErr w:type="gramStart"/>
      <w:r w:rsidRPr="00702AB2">
        <w:rPr>
          <w:rFonts w:ascii="宋体" w:eastAsia="宋体" w:hAnsi="宋体" w:cs="宋体" w:hint="eastAsia"/>
          <w:color w:val="000000"/>
          <w:kern w:val="0"/>
          <w:szCs w:val="21"/>
        </w:rPr>
        <w:t>平使用</w:t>
      </w:r>
      <w:proofErr w:type="gramEnd"/>
      <w:r w:rsidRPr="00702AB2">
        <w:rPr>
          <w:rFonts w:ascii="宋体" w:eastAsia="宋体" w:hAnsi="宋体" w:cs="宋体" w:hint="eastAsia"/>
          <w:color w:val="000000"/>
          <w:kern w:val="0"/>
          <w:szCs w:val="21"/>
        </w:rPr>
        <w:t>“郑某敏”账户和“张某平”账户内幕交易“巨龙管业”合计亏损2,274,448.6元。</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（三）内幕信息敏感期内，“郑某敏”账户、“张某平”账户交易“巨龙管业”行为明显异常，与内幕信息高度吻合，且无合理解释</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“郑某敏”账户为张某平在2016年12月10日左右借用，在2016年12月16日王永琴转入500万元后，于12月16日、19日全部买入“巨龙管业”，存在内幕信息</w:t>
      </w:r>
      <w:proofErr w:type="gramStart"/>
      <w:r w:rsidRPr="00702AB2">
        <w:rPr>
          <w:rFonts w:ascii="宋体" w:eastAsia="宋体" w:hAnsi="宋体" w:cs="宋体" w:hint="eastAsia"/>
          <w:color w:val="000000"/>
          <w:kern w:val="0"/>
          <w:szCs w:val="21"/>
        </w:rPr>
        <w:t>敏感期内银证</w:t>
      </w:r>
      <w:proofErr w:type="gramEnd"/>
      <w:r w:rsidRPr="00702AB2">
        <w:rPr>
          <w:rFonts w:ascii="宋体" w:eastAsia="宋体" w:hAnsi="宋体" w:cs="宋体" w:hint="eastAsia"/>
          <w:color w:val="000000"/>
          <w:kern w:val="0"/>
          <w:szCs w:val="21"/>
        </w:rPr>
        <w:t>转账后马上、大量、首次、单向、全仓买入“巨龙管业”的特征，交易行为明显异常，且账户的借用时点、银证转账时点、股票买入时点与内幕信息的发展公开高度吻合。</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“张某平”账户于内幕信息形成日的第二天开立，于2016年12月13日、</w:t>
      </w:r>
      <w:proofErr w:type="gramStart"/>
      <w:r w:rsidRPr="00702AB2">
        <w:rPr>
          <w:rFonts w:ascii="宋体" w:eastAsia="宋体" w:hAnsi="宋体" w:cs="宋体" w:hint="eastAsia"/>
          <w:color w:val="000000"/>
          <w:kern w:val="0"/>
          <w:szCs w:val="21"/>
        </w:rPr>
        <w:t>14日共银证</w:t>
      </w:r>
      <w:proofErr w:type="gramEnd"/>
      <w:r w:rsidRPr="00702AB2">
        <w:rPr>
          <w:rFonts w:ascii="宋体" w:eastAsia="宋体" w:hAnsi="宋体" w:cs="宋体" w:hint="eastAsia"/>
          <w:color w:val="000000"/>
          <w:kern w:val="0"/>
          <w:szCs w:val="21"/>
        </w:rPr>
        <w:t>转账100万元，12月13日至15日就全仓买入“巨龙管业”，“巨龙管业”于12月20日停牌，存在银证转账后马上、大量、首次、单向、全仓买入的特征，交易行为明显异常，且账户的开立时点、银证转账时点、股票买入时点与内幕信息的发展公开高度吻合。</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王永琴对内幕信息敏感期内交易“巨龙管业”没有提出正当理由或合理解释。</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上述违法事实，有巨龙管业公司公告、有关人员询问笔录及情况说明、有关人员邮件、飞行记录、“郑某敏”账户资料、“张某平”账户资料、有关银行账户资料等证据证明，足以认定。</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王永琴的上述行为违反了《证券法》第七十三条、第七十六条第一款的规定，构成《证券法》第二百零二条所述内幕交易行为。</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根据当事人违法行为的事实、性质、情节与社会危害程度，依据《证券法》第二百零二条的规定，我会决定：责令王永琴处理非法持有的股票，对王永琴处以五十万元的罚款。</w:t>
      </w:r>
    </w:p>
    <w:p w:rsidR="00702AB2" w:rsidRPr="00702AB2" w:rsidRDefault="00702AB2" w:rsidP="00702AB2">
      <w:pPr>
        <w:widowControl/>
        <w:shd w:val="clear" w:color="auto" w:fill="FFFFFF"/>
        <w:spacing w:line="360" w:lineRule="atLeast"/>
        <w:ind w:firstLine="420"/>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lastRenderedPageBreak/>
        <w:t>上述当事人应自收到本处罚决定书之日起15日内，将罚款汇交中国证券监督管理委员会（财政</w:t>
      </w:r>
      <w:proofErr w:type="gramStart"/>
      <w:r w:rsidRPr="00702AB2">
        <w:rPr>
          <w:rFonts w:ascii="宋体" w:eastAsia="宋体" w:hAnsi="宋体" w:cs="宋体" w:hint="eastAsia"/>
          <w:color w:val="000000"/>
          <w:kern w:val="0"/>
          <w:szCs w:val="21"/>
        </w:rPr>
        <w:t>汇缴专户</w:t>
      </w:r>
      <w:proofErr w:type="gramEnd"/>
      <w:r w:rsidRPr="00702AB2">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702AB2" w:rsidRPr="00702AB2" w:rsidRDefault="00702AB2" w:rsidP="00702AB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 xml:space="preserve">中国证监会　 　　</w:t>
      </w:r>
      <w:proofErr w:type="gramStart"/>
      <w:r w:rsidRPr="00702AB2">
        <w:rPr>
          <w:rFonts w:ascii="宋体" w:eastAsia="宋体" w:hAnsi="宋体" w:cs="宋体" w:hint="eastAsia"/>
          <w:color w:val="000000"/>
          <w:kern w:val="0"/>
          <w:szCs w:val="21"/>
        </w:rPr>
        <w:t xml:space="preserve">　　</w:t>
      </w:r>
      <w:proofErr w:type="gramEnd"/>
    </w:p>
    <w:p w:rsidR="00702AB2" w:rsidRPr="00702AB2" w:rsidRDefault="00702AB2" w:rsidP="00702AB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02AB2">
        <w:rPr>
          <w:rFonts w:ascii="宋体" w:eastAsia="宋体" w:hAnsi="宋体" w:cs="宋体" w:hint="eastAsia"/>
          <w:color w:val="000000"/>
          <w:kern w:val="0"/>
          <w:szCs w:val="21"/>
        </w:rPr>
        <w:t xml:space="preserve">2019年4月30日　　</w:t>
      </w:r>
      <w:proofErr w:type="gramStart"/>
      <w:r w:rsidRPr="00702AB2">
        <w:rPr>
          <w:rFonts w:ascii="宋体" w:eastAsia="宋体" w:hAnsi="宋体" w:cs="宋体" w:hint="eastAsia"/>
          <w:color w:val="000000"/>
          <w:kern w:val="0"/>
          <w:szCs w:val="21"/>
        </w:rPr>
        <w:t xml:space="preserve">　　</w:t>
      </w:r>
      <w:proofErr w:type="gramEnd"/>
    </w:p>
    <w:p w:rsidR="00702AB2" w:rsidRPr="00702AB2" w:rsidRDefault="00702AB2" w:rsidP="00702AB2">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02AB2" w:rsidRPr="00702AB2" w:rsidTr="00702AB2">
        <w:trPr>
          <w:tblCellSpacing w:w="15" w:type="dxa"/>
          <w:jc w:val="center"/>
        </w:trPr>
        <w:tc>
          <w:tcPr>
            <w:tcW w:w="900" w:type="dxa"/>
            <w:vAlign w:val="center"/>
            <w:hideMark/>
          </w:tcPr>
          <w:p w:rsidR="00702AB2" w:rsidRPr="00702AB2" w:rsidRDefault="00702AB2" w:rsidP="00702AB2">
            <w:pPr>
              <w:widowControl/>
              <w:jc w:val="left"/>
              <w:rPr>
                <w:rFonts w:ascii="宋体" w:eastAsia="宋体" w:hAnsi="宋体" w:cs="宋体" w:hint="eastAsia"/>
                <w:kern w:val="0"/>
                <w:sz w:val="18"/>
                <w:szCs w:val="18"/>
              </w:rPr>
            </w:pPr>
            <w:r w:rsidRPr="00702AB2">
              <w:rPr>
                <w:rFonts w:ascii="宋体" w:eastAsia="宋体" w:hAnsi="宋体" w:cs="宋体"/>
                <w:kern w:val="0"/>
                <w:sz w:val="18"/>
                <w:szCs w:val="18"/>
              </w:rPr>
              <w:t> </w:t>
            </w:r>
          </w:p>
        </w:tc>
        <w:tc>
          <w:tcPr>
            <w:tcW w:w="1200" w:type="dxa"/>
            <w:vAlign w:val="center"/>
            <w:hideMark/>
          </w:tcPr>
          <w:p w:rsidR="00702AB2" w:rsidRPr="00702AB2" w:rsidRDefault="00702AB2" w:rsidP="00702AB2">
            <w:pPr>
              <w:widowControl/>
              <w:jc w:val="left"/>
              <w:rPr>
                <w:rFonts w:ascii="宋体" w:eastAsia="宋体" w:hAnsi="宋体" w:cs="宋体"/>
                <w:kern w:val="0"/>
                <w:sz w:val="18"/>
                <w:szCs w:val="18"/>
              </w:rPr>
            </w:pPr>
            <w:r w:rsidRPr="00702AB2">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02AB2" w:rsidRPr="00702AB2" w:rsidRDefault="00702AB2" w:rsidP="00702AB2">
            <w:pPr>
              <w:widowControl/>
              <w:jc w:val="left"/>
              <w:rPr>
                <w:rFonts w:ascii="宋体" w:eastAsia="宋体" w:hAnsi="宋体" w:cs="宋体"/>
                <w:kern w:val="0"/>
                <w:sz w:val="18"/>
                <w:szCs w:val="18"/>
              </w:rPr>
            </w:pPr>
            <w:r w:rsidRPr="00702AB2">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02AB2" w:rsidRPr="00702AB2" w:rsidRDefault="00702AB2" w:rsidP="00702AB2">
            <w:pPr>
              <w:widowControl/>
              <w:jc w:val="left"/>
              <w:rPr>
                <w:rFonts w:ascii="宋体" w:eastAsia="宋体" w:hAnsi="宋体" w:cs="宋体"/>
                <w:kern w:val="0"/>
                <w:sz w:val="18"/>
                <w:szCs w:val="18"/>
              </w:rPr>
            </w:pPr>
            <w:r w:rsidRPr="00702AB2">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02AB2" w:rsidRPr="00702AB2" w:rsidRDefault="00702AB2" w:rsidP="00702AB2">
      <w:pPr>
        <w:widowControl/>
        <w:jc w:val="center"/>
        <w:rPr>
          <w:rFonts w:ascii="微软雅黑" w:eastAsia="微软雅黑" w:hAnsi="微软雅黑" w:cs="宋体"/>
          <w:color w:val="515151"/>
          <w:kern w:val="0"/>
          <w:sz w:val="18"/>
          <w:szCs w:val="18"/>
        </w:rPr>
      </w:pPr>
      <w:hyperlink r:id="rId11" w:tgtFrame="_blank" w:history="1">
        <w:r w:rsidRPr="00702AB2">
          <w:rPr>
            <w:rFonts w:ascii="微软雅黑" w:eastAsia="微软雅黑" w:hAnsi="微软雅黑" w:cs="宋体" w:hint="eastAsia"/>
            <w:color w:val="0000FF"/>
            <w:kern w:val="0"/>
            <w:sz w:val="18"/>
            <w:szCs w:val="18"/>
            <w:u w:val="single"/>
          </w:rPr>
          <w:t>关于我们</w:t>
        </w:r>
      </w:hyperlink>
      <w:r w:rsidRPr="00702AB2">
        <w:rPr>
          <w:rFonts w:ascii="微软雅黑" w:eastAsia="微软雅黑" w:hAnsi="微软雅黑" w:cs="宋体" w:hint="eastAsia"/>
          <w:color w:val="515151"/>
          <w:kern w:val="0"/>
          <w:sz w:val="18"/>
          <w:szCs w:val="18"/>
        </w:rPr>
        <w:t> - </w:t>
      </w:r>
      <w:hyperlink r:id="rId12" w:tgtFrame="_blank" w:history="1">
        <w:r w:rsidRPr="00702AB2">
          <w:rPr>
            <w:rFonts w:ascii="微软雅黑" w:eastAsia="微软雅黑" w:hAnsi="微软雅黑" w:cs="宋体" w:hint="eastAsia"/>
            <w:color w:val="0000FF"/>
            <w:kern w:val="0"/>
            <w:sz w:val="18"/>
            <w:szCs w:val="18"/>
            <w:u w:val="single"/>
          </w:rPr>
          <w:t>法律声明</w:t>
        </w:r>
      </w:hyperlink>
      <w:r w:rsidRPr="00702AB2">
        <w:rPr>
          <w:rFonts w:ascii="微软雅黑" w:eastAsia="微软雅黑" w:hAnsi="微软雅黑" w:cs="宋体" w:hint="eastAsia"/>
          <w:color w:val="515151"/>
          <w:kern w:val="0"/>
          <w:sz w:val="18"/>
          <w:szCs w:val="18"/>
        </w:rPr>
        <w:t> - </w:t>
      </w:r>
      <w:hyperlink r:id="rId13" w:tgtFrame="_blank" w:history="1">
        <w:r w:rsidRPr="00702AB2">
          <w:rPr>
            <w:rFonts w:ascii="微软雅黑" w:eastAsia="微软雅黑" w:hAnsi="微软雅黑" w:cs="宋体" w:hint="eastAsia"/>
            <w:color w:val="0000FF"/>
            <w:kern w:val="0"/>
            <w:sz w:val="18"/>
            <w:szCs w:val="18"/>
            <w:u w:val="single"/>
          </w:rPr>
          <w:t>联系我们</w:t>
        </w:r>
      </w:hyperlink>
    </w:p>
    <w:p w:rsidR="00702AB2" w:rsidRPr="00702AB2" w:rsidRDefault="00702AB2" w:rsidP="00702AB2">
      <w:pPr>
        <w:widowControl/>
        <w:jc w:val="center"/>
        <w:rPr>
          <w:rFonts w:ascii="微软雅黑" w:eastAsia="微软雅黑" w:hAnsi="微软雅黑" w:cs="宋体" w:hint="eastAsia"/>
          <w:color w:val="515151"/>
          <w:kern w:val="0"/>
          <w:sz w:val="18"/>
          <w:szCs w:val="18"/>
        </w:rPr>
      </w:pPr>
      <w:r w:rsidRPr="00702AB2">
        <w:rPr>
          <w:rFonts w:ascii="微软雅黑" w:eastAsia="微软雅黑" w:hAnsi="微软雅黑" w:cs="宋体" w:hint="eastAsia"/>
          <w:color w:val="515151"/>
          <w:kern w:val="0"/>
          <w:sz w:val="18"/>
          <w:szCs w:val="18"/>
        </w:rPr>
        <w:t>版权所有：中国证券监督管理委员会 京ICP备 05035542号</w:t>
      </w:r>
    </w:p>
    <w:p w:rsidR="00702AB2" w:rsidRPr="00702AB2" w:rsidRDefault="00702AB2" w:rsidP="00702AB2">
      <w:pPr>
        <w:widowControl/>
        <w:jc w:val="center"/>
        <w:rPr>
          <w:rFonts w:ascii="微软雅黑" w:eastAsia="微软雅黑" w:hAnsi="微软雅黑" w:cs="宋体" w:hint="eastAsia"/>
          <w:color w:val="515151"/>
          <w:kern w:val="0"/>
          <w:sz w:val="18"/>
          <w:szCs w:val="18"/>
        </w:rPr>
      </w:pPr>
      <w:r w:rsidRPr="00702AB2">
        <w:rPr>
          <w:rFonts w:ascii="微软雅黑" w:eastAsia="微软雅黑" w:hAnsi="微软雅黑" w:cs="宋体" w:hint="eastAsia"/>
          <w:color w:val="515151"/>
          <w:kern w:val="0"/>
          <w:sz w:val="18"/>
          <w:szCs w:val="18"/>
        </w:rPr>
        <w:t>地址：北京市西城区金融大街19号富凯大厦A座 邮编：100033</w:t>
      </w:r>
    </w:p>
    <w:p w:rsidR="00702AB2" w:rsidRPr="00702AB2" w:rsidRDefault="00702AB2" w:rsidP="00702AB2">
      <w:pPr>
        <w:widowControl/>
        <w:jc w:val="center"/>
        <w:rPr>
          <w:rFonts w:ascii="微软雅黑" w:eastAsia="微软雅黑" w:hAnsi="微软雅黑" w:cs="宋体" w:hint="eastAsia"/>
          <w:color w:val="515151"/>
          <w:kern w:val="0"/>
          <w:sz w:val="18"/>
          <w:szCs w:val="18"/>
        </w:rPr>
      </w:pPr>
      <w:r w:rsidRPr="00702AB2">
        <w:rPr>
          <w:rFonts w:ascii="微软雅黑" w:eastAsia="微软雅黑" w:hAnsi="微软雅黑" w:cs="宋体" w:hint="eastAsia"/>
          <w:color w:val="515151"/>
          <w:kern w:val="0"/>
          <w:sz w:val="18"/>
          <w:szCs w:val="18"/>
        </w:rPr>
        <w:t>建议使用IE5.5以上浏览器，分辨率1024*768</w:t>
      </w:r>
    </w:p>
    <w:p w:rsidR="00F84852" w:rsidRPr="00702AB2" w:rsidRDefault="00F84852"/>
    <w:sectPr w:rsidR="00F84852" w:rsidRPr="00702A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AB2"/>
    <w:rsid w:val="00702AB2"/>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78EBD-A3E4-4982-8381-2E276554B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02AB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02AB2"/>
    <w:rPr>
      <w:b/>
      <w:bCs/>
    </w:rPr>
  </w:style>
  <w:style w:type="paragraph" w:customStyle="1" w:styleId="p0">
    <w:name w:val="p0"/>
    <w:basedOn w:val="a"/>
    <w:rsid w:val="00702AB2"/>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702AB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02A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235537">
      <w:bodyDiv w:val="1"/>
      <w:marLeft w:val="0"/>
      <w:marRight w:val="0"/>
      <w:marTop w:val="0"/>
      <w:marBottom w:val="0"/>
      <w:divBdr>
        <w:top w:val="none" w:sz="0" w:space="0" w:color="auto"/>
        <w:left w:val="none" w:sz="0" w:space="0" w:color="auto"/>
        <w:bottom w:val="none" w:sz="0" w:space="0" w:color="auto"/>
        <w:right w:val="none" w:sz="0" w:space="0" w:color="auto"/>
      </w:divBdr>
      <w:divsChild>
        <w:div w:id="634868355">
          <w:marLeft w:val="0"/>
          <w:marRight w:val="0"/>
          <w:marTop w:val="150"/>
          <w:marBottom w:val="150"/>
          <w:divBdr>
            <w:top w:val="none" w:sz="0" w:space="0" w:color="auto"/>
            <w:left w:val="none" w:sz="0" w:space="0" w:color="auto"/>
            <w:bottom w:val="none" w:sz="0" w:space="0" w:color="auto"/>
            <w:right w:val="none" w:sz="0" w:space="0" w:color="auto"/>
          </w:divBdr>
        </w:div>
        <w:div w:id="403768886">
          <w:marLeft w:val="0"/>
          <w:marRight w:val="0"/>
          <w:marTop w:val="0"/>
          <w:marBottom w:val="0"/>
          <w:divBdr>
            <w:top w:val="single" w:sz="6" w:space="8" w:color="B5B5B5"/>
            <w:left w:val="single" w:sz="6" w:space="0" w:color="B5B5B5"/>
            <w:bottom w:val="single" w:sz="6" w:space="8" w:color="B5B5B5"/>
            <w:right w:val="single" w:sz="6" w:space="0" w:color="B5B5B5"/>
          </w:divBdr>
          <w:divsChild>
            <w:div w:id="171920474">
              <w:marLeft w:val="0"/>
              <w:marRight w:val="0"/>
              <w:marTop w:val="0"/>
              <w:marBottom w:val="0"/>
              <w:divBdr>
                <w:top w:val="none" w:sz="0" w:space="0" w:color="auto"/>
                <w:left w:val="none" w:sz="0" w:space="0" w:color="auto"/>
                <w:bottom w:val="none" w:sz="0" w:space="0" w:color="auto"/>
                <w:right w:val="none" w:sz="0" w:space="0" w:color="auto"/>
              </w:divBdr>
            </w:div>
            <w:div w:id="1199855745">
              <w:marLeft w:val="0"/>
              <w:marRight w:val="0"/>
              <w:marTop w:val="0"/>
              <w:marBottom w:val="0"/>
              <w:divBdr>
                <w:top w:val="none" w:sz="0" w:space="0" w:color="auto"/>
                <w:left w:val="none" w:sz="0" w:space="0" w:color="auto"/>
                <w:bottom w:val="none" w:sz="0" w:space="0" w:color="auto"/>
                <w:right w:val="none" w:sz="0" w:space="0" w:color="auto"/>
              </w:divBdr>
              <w:divsChild>
                <w:div w:id="643433004">
                  <w:marLeft w:val="0"/>
                  <w:marRight w:val="0"/>
                  <w:marTop w:val="0"/>
                  <w:marBottom w:val="0"/>
                  <w:divBdr>
                    <w:top w:val="none" w:sz="0" w:space="0" w:color="auto"/>
                    <w:left w:val="none" w:sz="0" w:space="0" w:color="auto"/>
                    <w:bottom w:val="none" w:sz="0" w:space="0" w:color="auto"/>
                    <w:right w:val="none" w:sz="0" w:space="0" w:color="auto"/>
                  </w:divBdr>
                </w:div>
              </w:divsChild>
            </w:div>
            <w:div w:id="237400172">
              <w:marLeft w:val="0"/>
              <w:marRight w:val="0"/>
              <w:marTop w:val="120"/>
              <w:marBottom w:val="120"/>
              <w:divBdr>
                <w:top w:val="none" w:sz="0" w:space="0" w:color="auto"/>
                <w:left w:val="none" w:sz="0" w:space="0" w:color="auto"/>
                <w:bottom w:val="none" w:sz="0" w:space="0" w:color="auto"/>
                <w:right w:val="none" w:sz="0" w:space="0" w:color="auto"/>
              </w:divBdr>
            </w:div>
          </w:divsChild>
        </w:div>
        <w:div w:id="1370496125">
          <w:marLeft w:val="0"/>
          <w:marRight w:val="0"/>
          <w:marTop w:val="120"/>
          <w:marBottom w:val="0"/>
          <w:divBdr>
            <w:top w:val="none" w:sz="0" w:space="0" w:color="auto"/>
            <w:left w:val="none" w:sz="0" w:space="0" w:color="auto"/>
            <w:bottom w:val="none" w:sz="0" w:space="0" w:color="auto"/>
            <w:right w:val="none" w:sz="0" w:space="0" w:color="auto"/>
          </w:divBdr>
          <w:divsChild>
            <w:div w:id="1056054390">
              <w:marLeft w:val="0"/>
              <w:marRight w:val="0"/>
              <w:marTop w:val="60"/>
              <w:marBottom w:val="0"/>
              <w:divBdr>
                <w:top w:val="none" w:sz="0" w:space="0" w:color="auto"/>
                <w:left w:val="none" w:sz="0" w:space="0" w:color="auto"/>
                <w:bottom w:val="none" w:sz="0" w:space="0" w:color="auto"/>
                <w:right w:val="none" w:sz="0" w:space="0" w:color="auto"/>
              </w:divBdr>
            </w:div>
            <w:div w:id="1983777740">
              <w:marLeft w:val="0"/>
              <w:marRight w:val="0"/>
              <w:marTop w:val="60"/>
              <w:marBottom w:val="0"/>
              <w:divBdr>
                <w:top w:val="none" w:sz="0" w:space="0" w:color="auto"/>
                <w:left w:val="none" w:sz="0" w:space="0" w:color="auto"/>
                <w:bottom w:val="none" w:sz="0" w:space="0" w:color="auto"/>
                <w:right w:val="none" w:sz="0" w:space="0" w:color="auto"/>
              </w:divBdr>
            </w:div>
            <w:div w:id="245960329">
              <w:marLeft w:val="0"/>
              <w:marRight w:val="0"/>
              <w:marTop w:val="60"/>
              <w:marBottom w:val="0"/>
              <w:divBdr>
                <w:top w:val="none" w:sz="0" w:space="0" w:color="auto"/>
                <w:left w:val="none" w:sz="0" w:space="0" w:color="auto"/>
                <w:bottom w:val="none" w:sz="0" w:space="0" w:color="auto"/>
                <w:right w:val="none" w:sz="0" w:space="0" w:color="auto"/>
              </w:divBdr>
            </w:div>
            <w:div w:id="7123405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5/t20190509_35549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2020-02-14T15:07:00Z</dcterms:created>
  <dcterms:modified xsi:type="dcterms:W3CDTF">2020-02-14T15:07:00Z</dcterms:modified>
</cp:coreProperties>
</file>