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3A18" w:rsidRPr="00203A18" w:rsidRDefault="00203A18" w:rsidP="00203A18">
      <w:pPr>
        <w:widowControl/>
        <w:jc w:val="center"/>
        <w:rPr>
          <w:rFonts w:ascii="微软雅黑" w:eastAsia="微软雅黑" w:hAnsi="微软雅黑" w:cs="宋体"/>
          <w:color w:val="000000"/>
          <w:kern w:val="0"/>
          <w:sz w:val="18"/>
          <w:szCs w:val="18"/>
        </w:rPr>
      </w:pPr>
      <w:r w:rsidRPr="00203A1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203A18" w:rsidRPr="00203A18" w:rsidTr="00203A1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03A18" w:rsidRPr="00203A18">
              <w:trPr>
                <w:tblCellSpacing w:w="0" w:type="dxa"/>
              </w:trPr>
              <w:tc>
                <w:tcPr>
                  <w:tcW w:w="2500" w:type="pct"/>
                  <w:tcMar>
                    <w:top w:w="30" w:type="dxa"/>
                    <w:left w:w="30" w:type="dxa"/>
                    <w:bottom w:w="30" w:type="dxa"/>
                    <w:right w:w="30" w:type="dxa"/>
                  </w:tcMar>
                  <w:hideMark/>
                </w:tcPr>
                <w:p w:rsidR="00203A18" w:rsidRPr="00203A18" w:rsidRDefault="00203A18" w:rsidP="00203A18">
                  <w:pPr>
                    <w:widowControl/>
                    <w:jc w:val="left"/>
                    <w:rPr>
                      <w:rFonts w:ascii="宋体" w:eastAsia="宋体" w:hAnsi="宋体" w:cs="宋体" w:hint="eastAsia"/>
                      <w:color w:val="686868"/>
                      <w:kern w:val="0"/>
                      <w:sz w:val="18"/>
                      <w:szCs w:val="18"/>
                    </w:rPr>
                  </w:pPr>
                  <w:r w:rsidRPr="00203A18">
                    <w:rPr>
                      <w:rFonts w:ascii="宋体" w:eastAsia="宋体" w:hAnsi="宋体" w:cs="宋体"/>
                      <w:b/>
                      <w:bCs/>
                      <w:color w:val="686868"/>
                      <w:kern w:val="0"/>
                      <w:sz w:val="18"/>
                      <w:szCs w:val="18"/>
                    </w:rPr>
                    <w:t>索 引 号:</w:t>
                  </w:r>
                  <w:r w:rsidRPr="00203A1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203A18" w:rsidRPr="00203A18" w:rsidRDefault="00203A18" w:rsidP="00203A18">
                  <w:pPr>
                    <w:widowControl/>
                    <w:jc w:val="left"/>
                    <w:rPr>
                      <w:rFonts w:ascii="宋体" w:eastAsia="宋体" w:hAnsi="宋体" w:cs="宋体"/>
                      <w:color w:val="686868"/>
                      <w:kern w:val="0"/>
                      <w:sz w:val="18"/>
                      <w:szCs w:val="18"/>
                    </w:rPr>
                  </w:pPr>
                  <w:r w:rsidRPr="00203A18">
                    <w:rPr>
                      <w:rFonts w:ascii="宋体" w:eastAsia="宋体" w:hAnsi="宋体" w:cs="宋体"/>
                      <w:b/>
                      <w:bCs/>
                      <w:color w:val="686868"/>
                      <w:kern w:val="0"/>
                      <w:sz w:val="18"/>
                      <w:szCs w:val="18"/>
                    </w:rPr>
                    <w:t>分类:</w:t>
                  </w:r>
                  <w:r w:rsidRPr="00203A18">
                    <w:rPr>
                      <w:rFonts w:ascii="宋体" w:eastAsia="宋体" w:hAnsi="宋体" w:cs="宋体"/>
                      <w:color w:val="686868"/>
                      <w:kern w:val="0"/>
                      <w:sz w:val="18"/>
                      <w:szCs w:val="18"/>
                    </w:rPr>
                    <w:t> 行政处罚 ; 行政处罚决定</w:t>
                  </w:r>
                </w:p>
              </w:tc>
            </w:tr>
          </w:tbl>
          <w:p w:rsidR="00203A18" w:rsidRPr="00203A18" w:rsidRDefault="00203A18" w:rsidP="00203A18">
            <w:pPr>
              <w:widowControl/>
              <w:jc w:val="left"/>
              <w:rPr>
                <w:rFonts w:ascii="宋体" w:eastAsia="宋体" w:hAnsi="宋体" w:cs="宋体"/>
                <w:color w:val="686868"/>
                <w:kern w:val="0"/>
                <w:sz w:val="18"/>
                <w:szCs w:val="18"/>
              </w:rPr>
            </w:pPr>
          </w:p>
        </w:tc>
      </w:tr>
      <w:tr w:rsidR="00203A18" w:rsidRPr="00203A18" w:rsidTr="00203A1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03A18" w:rsidRPr="00203A18">
              <w:trPr>
                <w:tblCellSpacing w:w="0" w:type="dxa"/>
              </w:trPr>
              <w:tc>
                <w:tcPr>
                  <w:tcW w:w="2500" w:type="pct"/>
                  <w:tcMar>
                    <w:top w:w="30" w:type="dxa"/>
                    <w:left w:w="30" w:type="dxa"/>
                    <w:bottom w:w="30" w:type="dxa"/>
                    <w:right w:w="30" w:type="dxa"/>
                  </w:tcMar>
                  <w:hideMark/>
                </w:tcPr>
                <w:p w:rsidR="00203A18" w:rsidRPr="00203A18" w:rsidRDefault="00203A18" w:rsidP="00203A18">
                  <w:pPr>
                    <w:widowControl/>
                    <w:jc w:val="left"/>
                    <w:rPr>
                      <w:rFonts w:ascii="宋体" w:eastAsia="宋体" w:hAnsi="宋体" w:cs="宋体"/>
                      <w:color w:val="686868"/>
                      <w:kern w:val="0"/>
                      <w:sz w:val="18"/>
                      <w:szCs w:val="18"/>
                    </w:rPr>
                  </w:pPr>
                  <w:r w:rsidRPr="00203A18">
                    <w:rPr>
                      <w:rFonts w:ascii="宋体" w:eastAsia="宋体" w:hAnsi="宋体" w:cs="宋体"/>
                      <w:b/>
                      <w:bCs/>
                      <w:color w:val="686868"/>
                      <w:kern w:val="0"/>
                      <w:sz w:val="18"/>
                      <w:szCs w:val="18"/>
                    </w:rPr>
                    <w:t>发布机构:</w:t>
                  </w:r>
                  <w:r w:rsidRPr="00203A1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203A18" w:rsidRPr="00203A18" w:rsidRDefault="00203A18" w:rsidP="00203A18">
                  <w:pPr>
                    <w:widowControl/>
                    <w:jc w:val="left"/>
                    <w:rPr>
                      <w:rFonts w:ascii="宋体" w:eastAsia="宋体" w:hAnsi="宋体" w:cs="宋体"/>
                      <w:color w:val="686868"/>
                      <w:kern w:val="0"/>
                      <w:sz w:val="18"/>
                      <w:szCs w:val="18"/>
                    </w:rPr>
                  </w:pPr>
                  <w:r w:rsidRPr="00203A18">
                    <w:rPr>
                      <w:rFonts w:ascii="宋体" w:eastAsia="宋体" w:hAnsi="宋体" w:cs="宋体"/>
                      <w:b/>
                      <w:bCs/>
                      <w:color w:val="686868"/>
                      <w:kern w:val="0"/>
                      <w:sz w:val="18"/>
                      <w:szCs w:val="18"/>
                    </w:rPr>
                    <w:t>发文日期:</w:t>
                  </w:r>
                  <w:r w:rsidRPr="00203A18">
                    <w:rPr>
                      <w:rFonts w:ascii="宋体" w:eastAsia="宋体" w:hAnsi="宋体" w:cs="宋体"/>
                      <w:color w:val="686868"/>
                      <w:kern w:val="0"/>
                      <w:sz w:val="18"/>
                      <w:szCs w:val="18"/>
                    </w:rPr>
                    <w:t> 2019年06月12日</w:t>
                  </w:r>
                </w:p>
              </w:tc>
            </w:tr>
          </w:tbl>
          <w:p w:rsidR="00203A18" w:rsidRPr="00203A18" w:rsidRDefault="00203A18" w:rsidP="00203A18">
            <w:pPr>
              <w:widowControl/>
              <w:jc w:val="left"/>
              <w:rPr>
                <w:rFonts w:ascii="宋体" w:eastAsia="宋体" w:hAnsi="宋体" w:cs="宋体"/>
                <w:color w:val="686868"/>
                <w:kern w:val="0"/>
                <w:sz w:val="18"/>
                <w:szCs w:val="18"/>
              </w:rPr>
            </w:pPr>
          </w:p>
        </w:tc>
      </w:tr>
      <w:tr w:rsidR="00203A18" w:rsidRPr="00203A18" w:rsidTr="00203A18">
        <w:trPr>
          <w:tblCellSpacing w:w="0" w:type="dxa"/>
        </w:trPr>
        <w:tc>
          <w:tcPr>
            <w:tcW w:w="0" w:type="auto"/>
            <w:tcMar>
              <w:top w:w="30" w:type="dxa"/>
              <w:left w:w="30" w:type="dxa"/>
              <w:bottom w:w="30" w:type="dxa"/>
              <w:right w:w="30" w:type="dxa"/>
            </w:tcMar>
            <w:hideMark/>
          </w:tcPr>
          <w:p w:rsidR="00203A18" w:rsidRPr="00203A18" w:rsidRDefault="00203A18" w:rsidP="00203A18">
            <w:pPr>
              <w:widowControl/>
              <w:jc w:val="left"/>
              <w:rPr>
                <w:rFonts w:ascii="宋体" w:eastAsia="宋体" w:hAnsi="宋体" w:cs="宋体"/>
                <w:color w:val="686868"/>
                <w:kern w:val="0"/>
                <w:sz w:val="18"/>
                <w:szCs w:val="18"/>
              </w:rPr>
            </w:pPr>
            <w:r w:rsidRPr="00203A18">
              <w:rPr>
                <w:rFonts w:ascii="宋体" w:eastAsia="宋体" w:hAnsi="宋体" w:cs="宋体"/>
                <w:b/>
                <w:bCs/>
                <w:color w:val="686868"/>
                <w:kern w:val="0"/>
                <w:sz w:val="18"/>
                <w:szCs w:val="18"/>
              </w:rPr>
              <w:t>名　　称:</w:t>
            </w:r>
            <w:r w:rsidRPr="00203A18">
              <w:rPr>
                <w:rFonts w:ascii="宋体" w:eastAsia="宋体" w:hAnsi="宋体" w:cs="宋体"/>
                <w:color w:val="686868"/>
                <w:kern w:val="0"/>
                <w:sz w:val="18"/>
                <w:szCs w:val="18"/>
              </w:rPr>
              <w:t> 中国证监会行政处罚决定书（刘德先)</w:t>
            </w:r>
          </w:p>
        </w:tc>
      </w:tr>
      <w:tr w:rsidR="00203A18" w:rsidRPr="00203A18" w:rsidTr="00203A18">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203A18" w:rsidRPr="00203A18">
              <w:trPr>
                <w:tblCellSpacing w:w="0" w:type="dxa"/>
              </w:trPr>
              <w:tc>
                <w:tcPr>
                  <w:tcW w:w="2500" w:type="pct"/>
                  <w:tcMar>
                    <w:top w:w="30" w:type="dxa"/>
                    <w:left w:w="30" w:type="dxa"/>
                    <w:bottom w:w="30" w:type="dxa"/>
                    <w:right w:w="30" w:type="dxa"/>
                  </w:tcMar>
                  <w:hideMark/>
                </w:tcPr>
                <w:p w:rsidR="00203A18" w:rsidRPr="00203A18" w:rsidRDefault="00203A18" w:rsidP="00203A18">
                  <w:pPr>
                    <w:widowControl/>
                    <w:jc w:val="left"/>
                    <w:rPr>
                      <w:rFonts w:ascii="宋体" w:eastAsia="宋体" w:hAnsi="宋体" w:cs="宋体"/>
                      <w:color w:val="686868"/>
                      <w:kern w:val="0"/>
                      <w:sz w:val="18"/>
                      <w:szCs w:val="18"/>
                    </w:rPr>
                  </w:pPr>
                  <w:r w:rsidRPr="00203A18">
                    <w:rPr>
                      <w:rFonts w:ascii="宋体" w:eastAsia="宋体" w:hAnsi="宋体" w:cs="宋体"/>
                      <w:b/>
                      <w:bCs/>
                      <w:color w:val="686868"/>
                      <w:kern w:val="0"/>
                      <w:sz w:val="18"/>
                      <w:szCs w:val="18"/>
                    </w:rPr>
                    <w:t>文　　号:</w:t>
                  </w:r>
                  <w:r w:rsidRPr="00203A18">
                    <w:rPr>
                      <w:rFonts w:ascii="宋体" w:eastAsia="宋体" w:hAnsi="宋体" w:cs="宋体"/>
                      <w:color w:val="686868"/>
                      <w:kern w:val="0"/>
                      <w:sz w:val="18"/>
                      <w:szCs w:val="18"/>
                    </w:rPr>
                    <w:t> </w:t>
                  </w:r>
                  <w:bookmarkStart w:id="0" w:name="_GoBack"/>
                  <w:r w:rsidRPr="00203A18">
                    <w:rPr>
                      <w:rFonts w:ascii="宋体" w:eastAsia="宋体" w:hAnsi="宋体" w:cs="宋体"/>
                      <w:color w:val="686868"/>
                      <w:kern w:val="0"/>
                      <w:sz w:val="18"/>
                      <w:szCs w:val="18"/>
                    </w:rPr>
                    <w:t>〔2019〕56号</w:t>
                  </w:r>
                  <w:bookmarkEnd w:id="0"/>
                </w:p>
              </w:tc>
              <w:tc>
                <w:tcPr>
                  <w:tcW w:w="0" w:type="auto"/>
                  <w:tcMar>
                    <w:top w:w="30" w:type="dxa"/>
                    <w:left w:w="30" w:type="dxa"/>
                    <w:bottom w:w="30" w:type="dxa"/>
                    <w:right w:w="30" w:type="dxa"/>
                  </w:tcMar>
                  <w:hideMark/>
                </w:tcPr>
                <w:p w:rsidR="00203A18" w:rsidRPr="00203A18" w:rsidRDefault="00203A18" w:rsidP="00203A18">
                  <w:pPr>
                    <w:widowControl/>
                    <w:jc w:val="left"/>
                    <w:rPr>
                      <w:rFonts w:ascii="宋体" w:eastAsia="宋体" w:hAnsi="宋体" w:cs="宋体"/>
                      <w:color w:val="686868"/>
                      <w:kern w:val="0"/>
                      <w:sz w:val="18"/>
                      <w:szCs w:val="18"/>
                    </w:rPr>
                  </w:pPr>
                  <w:r w:rsidRPr="00203A18">
                    <w:rPr>
                      <w:rFonts w:ascii="宋体" w:eastAsia="宋体" w:hAnsi="宋体" w:cs="宋体"/>
                      <w:b/>
                      <w:bCs/>
                      <w:color w:val="686868"/>
                      <w:kern w:val="0"/>
                      <w:sz w:val="18"/>
                      <w:szCs w:val="18"/>
                    </w:rPr>
                    <w:t>主 题 词:</w:t>
                  </w:r>
                </w:p>
              </w:tc>
            </w:tr>
          </w:tbl>
          <w:p w:rsidR="00203A18" w:rsidRPr="00203A18" w:rsidRDefault="00203A18" w:rsidP="00203A18">
            <w:pPr>
              <w:widowControl/>
              <w:jc w:val="left"/>
              <w:rPr>
                <w:rFonts w:ascii="宋体" w:eastAsia="宋体" w:hAnsi="宋体" w:cs="宋体"/>
                <w:color w:val="686868"/>
                <w:kern w:val="0"/>
                <w:sz w:val="18"/>
                <w:szCs w:val="18"/>
              </w:rPr>
            </w:pPr>
          </w:p>
        </w:tc>
      </w:tr>
    </w:tbl>
    <w:p w:rsidR="00203A18" w:rsidRPr="00203A18" w:rsidRDefault="00203A18" w:rsidP="00203A18">
      <w:pPr>
        <w:widowControl/>
        <w:jc w:val="center"/>
        <w:rPr>
          <w:rFonts w:ascii="微软雅黑" w:eastAsia="微软雅黑" w:hAnsi="微软雅黑" w:cs="宋体"/>
          <w:color w:val="000000"/>
          <w:kern w:val="0"/>
          <w:sz w:val="18"/>
          <w:szCs w:val="18"/>
        </w:rPr>
      </w:pPr>
      <w:r w:rsidRPr="00203A1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203A18" w:rsidRPr="00203A18" w:rsidRDefault="00203A18" w:rsidP="00203A18">
      <w:pPr>
        <w:widowControl/>
        <w:shd w:val="clear" w:color="auto" w:fill="FFFFFF"/>
        <w:spacing w:after="240"/>
        <w:jc w:val="center"/>
        <w:rPr>
          <w:rFonts w:ascii="微软雅黑" w:eastAsia="微软雅黑" w:hAnsi="微软雅黑" w:cs="宋体" w:hint="eastAsia"/>
          <w:color w:val="000000"/>
          <w:kern w:val="0"/>
          <w:sz w:val="18"/>
          <w:szCs w:val="18"/>
        </w:rPr>
      </w:pPr>
      <w:r w:rsidRPr="00203A18">
        <w:rPr>
          <w:rFonts w:ascii="微软雅黑" w:eastAsia="微软雅黑" w:hAnsi="微软雅黑" w:cs="宋体" w:hint="eastAsia"/>
          <w:color w:val="000000"/>
          <w:kern w:val="0"/>
          <w:sz w:val="18"/>
          <w:szCs w:val="18"/>
        </w:rPr>
        <w:br/>
      </w:r>
      <w:r w:rsidRPr="00203A18">
        <w:rPr>
          <w:rFonts w:ascii="黑体" w:eastAsia="黑体" w:hAnsi="黑体" w:cs="宋体" w:hint="eastAsia"/>
          <w:b/>
          <w:bCs/>
          <w:color w:val="FF0000"/>
          <w:kern w:val="0"/>
          <w:sz w:val="36"/>
          <w:szCs w:val="36"/>
        </w:rPr>
        <w:t>中国证监会行政处罚决定书（刘德先)</w:t>
      </w:r>
    </w:p>
    <w:p w:rsidR="00203A18" w:rsidRPr="00203A18" w:rsidRDefault="00203A18" w:rsidP="00203A18">
      <w:pPr>
        <w:widowControl/>
        <w:shd w:val="clear" w:color="auto" w:fill="FFFFFF"/>
        <w:spacing w:line="360" w:lineRule="atLeast"/>
        <w:jc w:val="left"/>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 </w:t>
      </w:r>
    </w:p>
    <w:p w:rsidR="00203A18" w:rsidRPr="00203A18" w:rsidRDefault="00203A18" w:rsidP="00203A18">
      <w:pPr>
        <w:widowControl/>
        <w:shd w:val="clear" w:color="auto" w:fill="FFFFFF"/>
        <w:spacing w:line="360" w:lineRule="atLeast"/>
        <w:jc w:val="center"/>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〔2019〕56号</w:t>
      </w:r>
    </w:p>
    <w:p w:rsidR="00203A18" w:rsidRPr="00203A18" w:rsidRDefault="00203A18" w:rsidP="00203A18">
      <w:pPr>
        <w:widowControl/>
        <w:shd w:val="clear" w:color="auto" w:fill="FFFFFF"/>
        <w:spacing w:line="360" w:lineRule="atLeast"/>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 </w:t>
      </w:r>
    </w:p>
    <w:p w:rsidR="00203A18" w:rsidRPr="00203A18" w:rsidRDefault="00203A18" w:rsidP="00203A18">
      <w:pPr>
        <w:widowControl/>
        <w:shd w:val="clear" w:color="auto" w:fill="FFFFFF"/>
        <w:spacing w:line="360" w:lineRule="atLeast"/>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 </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当事人：刘德先，男，1963年6月出生，山东大王金泰集团有限公司（以下简称金泰集团）股东之一，住址：山东省广饶县大王镇华泰天桥小区别墅区2号东户。</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依据《中华人民共和国证券法》（以下简称《证券法》）的有关规定，我会对刘德先内幕交易行为进行了立案调查、审理，并依法向当事人告知了</w:t>
      </w:r>
      <w:proofErr w:type="gramStart"/>
      <w:r w:rsidRPr="00203A18">
        <w:rPr>
          <w:rFonts w:ascii="宋体" w:eastAsia="宋体" w:hAnsi="宋体" w:cs="宋体" w:hint="eastAsia"/>
          <w:color w:val="000000"/>
          <w:kern w:val="0"/>
          <w:szCs w:val="21"/>
        </w:rPr>
        <w:t>作出</w:t>
      </w:r>
      <w:proofErr w:type="gramEnd"/>
      <w:r w:rsidRPr="00203A18">
        <w:rPr>
          <w:rFonts w:ascii="宋体" w:eastAsia="宋体" w:hAnsi="宋体" w:cs="宋体" w:hint="eastAsia"/>
          <w:color w:val="000000"/>
          <w:kern w:val="0"/>
          <w:szCs w:val="21"/>
        </w:rPr>
        <w:t>行政处罚的事实、理由、依据及当事人依法享有的权利，应当事人刘德先的要求，我会于2018年11月22日举行了听证会，听取了刘德先及其代理人的陈述、申辩。本案现已调查、审理终结。</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经查明，刘德先存在以下违法事实：</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一、内幕信息的形成及公开过程</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2016年3月，中</w:t>
      </w:r>
      <w:proofErr w:type="gramStart"/>
      <w:r w:rsidRPr="00203A18">
        <w:rPr>
          <w:rFonts w:ascii="宋体" w:eastAsia="宋体" w:hAnsi="宋体" w:cs="宋体" w:hint="eastAsia"/>
          <w:color w:val="000000"/>
          <w:kern w:val="0"/>
          <w:szCs w:val="21"/>
        </w:rPr>
        <w:t>信建投证券</w:t>
      </w:r>
      <w:proofErr w:type="gramEnd"/>
      <w:r w:rsidRPr="00203A18">
        <w:rPr>
          <w:rFonts w:ascii="宋体" w:eastAsia="宋体" w:hAnsi="宋体" w:cs="宋体" w:hint="eastAsia"/>
          <w:color w:val="000000"/>
          <w:kern w:val="0"/>
          <w:szCs w:val="21"/>
        </w:rPr>
        <w:t>股份有限公司（以下简称中</w:t>
      </w:r>
      <w:proofErr w:type="gramStart"/>
      <w:r w:rsidRPr="00203A18">
        <w:rPr>
          <w:rFonts w:ascii="宋体" w:eastAsia="宋体" w:hAnsi="宋体" w:cs="宋体" w:hint="eastAsia"/>
          <w:color w:val="000000"/>
          <w:kern w:val="0"/>
          <w:szCs w:val="21"/>
        </w:rPr>
        <w:t>信建投证券</w:t>
      </w:r>
      <w:proofErr w:type="gramEnd"/>
      <w:r w:rsidRPr="00203A18">
        <w:rPr>
          <w:rFonts w:ascii="宋体" w:eastAsia="宋体" w:hAnsi="宋体" w:cs="宋体" w:hint="eastAsia"/>
          <w:color w:val="000000"/>
          <w:kern w:val="0"/>
          <w:szCs w:val="21"/>
        </w:rPr>
        <w:t>）员工赵某到山东华泰纸业股份有限公司（以下简称华泰股份或公司）拜访，就公司非公开发行股票事项与公司副董事长、总经理、董事会秘书魏某光，公司证券事务代表任某祥探讨。</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2016年3月底，赵某将非公开发行草案发送给任某祥，任某祥报给魏某光，魏某光与公司董事长李某亮沟通后，两人随即请示华泰股份实际控制人、华泰集团党委书记、董事局主席李某华并获得了同意。</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2016年3月30日，华泰股份与北京大成律师事务所（以下简称大成律所）签订了关于华泰股份非公开发行股票事项的《法律服务合同（专项）》，随后华泰股份依据大成律所提供</w:t>
      </w:r>
      <w:proofErr w:type="gramStart"/>
      <w:r w:rsidRPr="00203A18">
        <w:rPr>
          <w:rFonts w:ascii="宋体" w:eastAsia="宋体" w:hAnsi="宋体" w:cs="宋体" w:hint="eastAsia"/>
          <w:color w:val="000000"/>
          <w:kern w:val="0"/>
          <w:szCs w:val="21"/>
        </w:rPr>
        <w:t>的尽调清单</w:t>
      </w:r>
      <w:proofErr w:type="gramEnd"/>
      <w:r w:rsidRPr="00203A18">
        <w:rPr>
          <w:rFonts w:ascii="宋体" w:eastAsia="宋体" w:hAnsi="宋体" w:cs="宋体" w:hint="eastAsia"/>
          <w:color w:val="000000"/>
          <w:kern w:val="0"/>
          <w:szCs w:val="21"/>
        </w:rPr>
        <w:t>开始准备材料。</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2016年5月初，中</w:t>
      </w:r>
      <w:proofErr w:type="gramStart"/>
      <w:r w:rsidRPr="00203A18">
        <w:rPr>
          <w:rFonts w:ascii="宋体" w:eastAsia="宋体" w:hAnsi="宋体" w:cs="宋体" w:hint="eastAsia"/>
          <w:color w:val="000000"/>
          <w:kern w:val="0"/>
          <w:szCs w:val="21"/>
        </w:rPr>
        <w:t>信建投证券</w:t>
      </w:r>
      <w:proofErr w:type="gramEnd"/>
      <w:r w:rsidRPr="00203A18">
        <w:rPr>
          <w:rFonts w:ascii="宋体" w:eastAsia="宋体" w:hAnsi="宋体" w:cs="宋体" w:hint="eastAsia"/>
          <w:color w:val="000000"/>
          <w:kern w:val="0"/>
          <w:szCs w:val="21"/>
        </w:rPr>
        <w:t>员工赵某、陈某到华泰股份，对此前做好的非公开发行股票的草案进行梳理，开展尽职调查工作。</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2016年5月30日，李某亮、魏某光、任某祥和李某（李某华之女）等人一起到上海与大成律</w:t>
      </w:r>
      <w:proofErr w:type="gramStart"/>
      <w:r w:rsidRPr="00203A18">
        <w:rPr>
          <w:rFonts w:ascii="宋体" w:eastAsia="宋体" w:hAnsi="宋体" w:cs="宋体" w:hint="eastAsia"/>
          <w:color w:val="000000"/>
          <w:kern w:val="0"/>
          <w:szCs w:val="21"/>
        </w:rPr>
        <w:t>所高级</w:t>
      </w:r>
      <w:proofErr w:type="gramEnd"/>
      <w:r w:rsidRPr="00203A18">
        <w:rPr>
          <w:rFonts w:ascii="宋体" w:eastAsia="宋体" w:hAnsi="宋体" w:cs="宋体" w:hint="eastAsia"/>
          <w:color w:val="000000"/>
          <w:kern w:val="0"/>
          <w:szCs w:val="21"/>
        </w:rPr>
        <w:t>合伙人华某见面并一起探讨华泰股份非公开发行股票事项。</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lastRenderedPageBreak/>
        <w:t>2016年6月8日下午，李某华、李某亮、魏某光、卜某芹（时任华泰股份监事会副主席、财务</w:t>
      </w:r>
      <w:proofErr w:type="gramStart"/>
      <w:r w:rsidRPr="00203A18">
        <w:rPr>
          <w:rFonts w:ascii="宋体" w:eastAsia="宋体" w:hAnsi="宋体" w:cs="宋体" w:hint="eastAsia"/>
          <w:color w:val="000000"/>
          <w:kern w:val="0"/>
          <w:szCs w:val="21"/>
        </w:rPr>
        <w:t>部监督</w:t>
      </w:r>
      <w:proofErr w:type="gramEnd"/>
      <w:r w:rsidRPr="00203A18">
        <w:rPr>
          <w:rFonts w:ascii="宋体" w:eastAsia="宋体" w:hAnsi="宋体" w:cs="宋体" w:hint="eastAsia"/>
          <w:color w:val="000000"/>
          <w:kern w:val="0"/>
          <w:szCs w:val="21"/>
        </w:rPr>
        <w:t>负责人）、任某祥在华泰股份召开资本运营会，会上对华泰股份非公开发行（定向增发）方案进行了讨论。</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2016年7月7日，华泰股份发布重大事项停牌公告，称正在</w:t>
      </w:r>
      <w:proofErr w:type="gramStart"/>
      <w:r w:rsidRPr="00203A18">
        <w:rPr>
          <w:rFonts w:ascii="宋体" w:eastAsia="宋体" w:hAnsi="宋体" w:cs="宋体" w:hint="eastAsia"/>
          <w:color w:val="000000"/>
          <w:kern w:val="0"/>
          <w:szCs w:val="21"/>
        </w:rPr>
        <w:t>筹划非</w:t>
      </w:r>
      <w:proofErr w:type="gramEnd"/>
      <w:r w:rsidRPr="00203A18">
        <w:rPr>
          <w:rFonts w:ascii="宋体" w:eastAsia="宋体" w:hAnsi="宋体" w:cs="宋体" w:hint="eastAsia"/>
          <w:color w:val="000000"/>
          <w:kern w:val="0"/>
          <w:szCs w:val="21"/>
        </w:rPr>
        <w:t>公开发行股票的重大事项，鉴于该事项存在重大不确定性，自2016年7月7日起停牌。</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2016年7月14日，华泰股份复牌，并发布《2016年度非公开发行股票预案》及相关决议等公告。预案内容包括：以非公开发行方式向包括控股股东华泰集团在内不超过10</w:t>
      </w:r>
      <w:proofErr w:type="gramStart"/>
      <w:r w:rsidRPr="00203A18">
        <w:rPr>
          <w:rFonts w:ascii="宋体" w:eastAsia="宋体" w:hAnsi="宋体" w:cs="宋体" w:hint="eastAsia"/>
          <w:color w:val="000000"/>
          <w:kern w:val="0"/>
          <w:szCs w:val="21"/>
        </w:rPr>
        <w:t>名特定</w:t>
      </w:r>
      <w:proofErr w:type="gramEnd"/>
      <w:r w:rsidRPr="00203A18">
        <w:rPr>
          <w:rFonts w:ascii="宋体" w:eastAsia="宋体" w:hAnsi="宋体" w:cs="宋体" w:hint="eastAsia"/>
          <w:color w:val="000000"/>
          <w:kern w:val="0"/>
          <w:szCs w:val="21"/>
        </w:rPr>
        <w:t>投资者发行股票募集不超过93,000万元的资金，发行股票数量不超过220,379,146股，发行价格为每股4.22元，募集资金用于精细化工有机合成中间体及配套项目以及补充流动资金，项目的建设单位是华泰股份的子公司日照华泰纸业有限公司，建设地点在</w:t>
      </w:r>
      <w:proofErr w:type="gramStart"/>
      <w:r w:rsidRPr="00203A18">
        <w:rPr>
          <w:rFonts w:ascii="宋体" w:eastAsia="宋体" w:hAnsi="宋体" w:cs="宋体" w:hint="eastAsia"/>
          <w:color w:val="000000"/>
          <w:kern w:val="0"/>
          <w:szCs w:val="21"/>
        </w:rPr>
        <w:t>日照海右经济</w:t>
      </w:r>
      <w:proofErr w:type="gramEnd"/>
      <w:r w:rsidRPr="00203A18">
        <w:rPr>
          <w:rFonts w:ascii="宋体" w:eastAsia="宋体" w:hAnsi="宋体" w:cs="宋体" w:hint="eastAsia"/>
          <w:color w:val="000000"/>
          <w:kern w:val="0"/>
          <w:szCs w:val="21"/>
        </w:rPr>
        <w:t>开发区（莒县夏庄村），项目总投资金额是727,720,000元。本次非公开发行股票完成后，华泰股份的控股股东和实际控制人不发生变化。</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根据《证券法》第六十七条第二款第（二）项“公司的重大投资行为和重大的购置财产的决定”、第七十五条第二款第（二）项“公司分配股利或者增资的计划”及第（三）项“公司股权结构的重大变化”的规定，华泰股份此次非公开发行股票事项为内幕信息。内幕信息的形成时间不晚于2016年3月30日，公开于2016年7月7日。卜某芹于2016年6月8日参加了华泰股份非公开发行方案的讨论，为内幕信息知情人，其知悉华泰股份此次非公开发行股票的时间不晚于2016年6月8日。</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二、刘德先内幕交易“华泰股份”</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（一）“李某”“李某东”“李某梅”“高某君”证券账户开立情况</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“李某”证券账户，2007年4月20日开立于中泰证券潍坊东风西</w:t>
      </w:r>
      <w:proofErr w:type="gramStart"/>
      <w:r w:rsidRPr="00203A18">
        <w:rPr>
          <w:rFonts w:ascii="宋体" w:eastAsia="宋体" w:hAnsi="宋体" w:cs="宋体" w:hint="eastAsia"/>
          <w:color w:val="000000"/>
          <w:kern w:val="0"/>
          <w:szCs w:val="21"/>
        </w:rPr>
        <w:t>街证券</w:t>
      </w:r>
      <w:proofErr w:type="gramEnd"/>
      <w:r w:rsidRPr="00203A18">
        <w:rPr>
          <w:rFonts w:ascii="宋体" w:eastAsia="宋体" w:hAnsi="宋体" w:cs="宋体" w:hint="eastAsia"/>
          <w:color w:val="000000"/>
          <w:kern w:val="0"/>
          <w:szCs w:val="21"/>
        </w:rPr>
        <w:t>营业部。“李某东”证券账户，2015年12月3日开立于中泰证券潍坊东风西</w:t>
      </w:r>
      <w:proofErr w:type="gramStart"/>
      <w:r w:rsidRPr="00203A18">
        <w:rPr>
          <w:rFonts w:ascii="宋体" w:eastAsia="宋体" w:hAnsi="宋体" w:cs="宋体" w:hint="eastAsia"/>
          <w:color w:val="000000"/>
          <w:kern w:val="0"/>
          <w:szCs w:val="21"/>
        </w:rPr>
        <w:t>街证券</w:t>
      </w:r>
      <w:proofErr w:type="gramEnd"/>
      <w:r w:rsidRPr="00203A18">
        <w:rPr>
          <w:rFonts w:ascii="宋体" w:eastAsia="宋体" w:hAnsi="宋体" w:cs="宋体" w:hint="eastAsia"/>
          <w:color w:val="000000"/>
          <w:kern w:val="0"/>
          <w:szCs w:val="21"/>
        </w:rPr>
        <w:t>营业部。“李某梅”证券账户，2015年12月13日开立于中泰证券潍坊东风西</w:t>
      </w:r>
      <w:proofErr w:type="gramStart"/>
      <w:r w:rsidRPr="00203A18">
        <w:rPr>
          <w:rFonts w:ascii="宋体" w:eastAsia="宋体" w:hAnsi="宋体" w:cs="宋体" w:hint="eastAsia"/>
          <w:color w:val="000000"/>
          <w:kern w:val="0"/>
          <w:szCs w:val="21"/>
        </w:rPr>
        <w:t>街证券</w:t>
      </w:r>
      <w:proofErr w:type="gramEnd"/>
      <w:r w:rsidRPr="00203A18">
        <w:rPr>
          <w:rFonts w:ascii="宋体" w:eastAsia="宋体" w:hAnsi="宋体" w:cs="宋体" w:hint="eastAsia"/>
          <w:color w:val="000000"/>
          <w:kern w:val="0"/>
          <w:szCs w:val="21"/>
        </w:rPr>
        <w:t>营业部。“高某君”证券账户，2015年10月26日开立于中泰证券潍坊东风西</w:t>
      </w:r>
      <w:proofErr w:type="gramStart"/>
      <w:r w:rsidRPr="00203A18">
        <w:rPr>
          <w:rFonts w:ascii="宋体" w:eastAsia="宋体" w:hAnsi="宋体" w:cs="宋体" w:hint="eastAsia"/>
          <w:color w:val="000000"/>
          <w:kern w:val="0"/>
          <w:szCs w:val="21"/>
        </w:rPr>
        <w:t>街证券</w:t>
      </w:r>
      <w:proofErr w:type="gramEnd"/>
      <w:r w:rsidRPr="00203A18">
        <w:rPr>
          <w:rFonts w:ascii="宋体" w:eastAsia="宋体" w:hAnsi="宋体" w:cs="宋体" w:hint="eastAsia"/>
          <w:color w:val="000000"/>
          <w:kern w:val="0"/>
          <w:szCs w:val="21"/>
        </w:rPr>
        <w:t>营业部。</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（二）刘德先控制“李某”“李某东”“李某梅”“高某君”四个证券账户</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1.刘德先知悉“李某”“李某东”“李某梅”“高某君”四个证券账号（以下简称“李某”账户组）和密码，对应的三方存管</w:t>
      </w:r>
      <w:proofErr w:type="gramStart"/>
      <w:r w:rsidRPr="00203A18">
        <w:rPr>
          <w:rFonts w:ascii="宋体" w:eastAsia="宋体" w:hAnsi="宋体" w:cs="宋体" w:hint="eastAsia"/>
          <w:color w:val="000000"/>
          <w:kern w:val="0"/>
          <w:szCs w:val="21"/>
        </w:rPr>
        <w:t>银行卡自开户</w:t>
      </w:r>
      <w:proofErr w:type="gramEnd"/>
      <w:r w:rsidRPr="00203A18">
        <w:rPr>
          <w:rFonts w:ascii="宋体" w:eastAsia="宋体" w:hAnsi="宋体" w:cs="宋体" w:hint="eastAsia"/>
          <w:color w:val="000000"/>
          <w:kern w:val="0"/>
          <w:szCs w:val="21"/>
        </w:rPr>
        <w:t>以来一直由刘德先保管，银行卡密码刘德先均知悉。</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2.“李某”账户组委托下单留痕与“刘德先”证券账户委托下单留痕存在大量重合，且“刘德先”证券账户自开户以来一直由其自行使用。</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3.“李某”账户组在内幕信息公开前多次买入“华泰股份”，交易所用电脑为刘德先办公室先前使用的联想牌台式电脑。</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（三）刘德先与内幕信息知情人的关系及联络情况</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刘德先与卜某芹系夫妻关系，两人在内幕信息形成后及公开前通讯往来频繁，6月份两人通话75次，7月份通话119次。</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（四）刘德先交易“华泰股份”情况</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2016年6月17日至7月1日期间，刘德先控制使用“李某”账户</w:t>
      </w:r>
      <w:proofErr w:type="gramStart"/>
      <w:r w:rsidRPr="00203A18">
        <w:rPr>
          <w:rFonts w:ascii="宋体" w:eastAsia="宋体" w:hAnsi="宋体" w:cs="宋体" w:hint="eastAsia"/>
          <w:color w:val="000000"/>
          <w:kern w:val="0"/>
          <w:szCs w:val="21"/>
        </w:rPr>
        <w:t>组交易</w:t>
      </w:r>
      <w:proofErr w:type="gramEnd"/>
      <w:r w:rsidRPr="00203A18">
        <w:rPr>
          <w:rFonts w:ascii="宋体" w:eastAsia="宋体" w:hAnsi="宋体" w:cs="宋体" w:hint="eastAsia"/>
          <w:color w:val="000000"/>
          <w:kern w:val="0"/>
          <w:szCs w:val="21"/>
        </w:rPr>
        <w:t>“华泰股份”的情况如下：</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lastRenderedPageBreak/>
        <w:t>1.“李某”证券账户于2016年6月28日至7月1日买入“华泰股份”1,455,874股，2016年6月29日卖出100,000股，净买入1,355,874股，净买入金额约659.09万元。2016年11月22日，该账户所持“华泰股份”全部卖出，盈利1,201,975.80元。</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2.“李某东”证券账户于2016年6月17日至6月29日买入“华泰股份”1,226,601股，成交金额约570.97万元。2016年12月20日、21日该账户所持“华泰股份”全部卖出，盈利941,502.18元。</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3.“李某梅”证券账户于2016年6月21日至6月29日买入“华泰股份”1,399,200股，成交金额约653.59万元。2016年11月22日，该账户所持“华泰股份”全部卖出，盈利1,423,387.33元。</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4.“高某君”证券账户于2016年6月17日至6月29日买入“华泰股份”1,969,368股，成交金额约938.91万元。2016年8月1日至12月21日，该账户所持“华泰股份”全部卖出，盈利总计1,343,629.26元。</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2016年6月17日至7月1日期间，刘德先控制使用“李某”账户组累计买入“华泰股份”6,051,043股，成交金额28,710,669.27元，2016年6月29日卖出100,000股，剩余股票在内幕信息公开后全部卖出，盈利4,910,494.56元。</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内幕信息敏感期内，刘德先控制“李某”账户</w:t>
      </w:r>
      <w:proofErr w:type="gramStart"/>
      <w:r w:rsidRPr="00203A18">
        <w:rPr>
          <w:rFonts w:ascii="宋体" w:eastAsia="宋体" w:hAnsi="宋体" w:cs="宋体" w:hint="eastAsia"/>
          <w:color w:val="000000"/>
          <w:kern w:val="0"/>
          <w:szCs w:val="21"/>
        </w:rPr>
        <w:t>组亏损</w:t>
      </w:r>
      <w:proofErr w:type="gramEnd"/>
      <w:r w:rsidRPr="00203A18">
        <w:rPr>
          <w:rFonts w:ascii="宋体" w:eastAsia="宋体" w:hAnsi="宋体" w:cs="宋体" w:hint="eastAsia"/>
          <w:color w:val="000000"/>
          <w:kern w:val="0"/>
          <w:szCs w:val="21"/>
        </w:rPr>
        <w:t>卖出“北方稀土”“中国平安”等股票，卖出所得资金大部分用于购买“华泰股份”，单向买入意愿强烈。</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刘德先与内幕信息知情人卜某芹系夫妻关系，刘德先掌握“李某”账户组的账号和密码，且“李某”账户组对应的三方存管银行卡、</w:t>
      </w:r>
      <w:proofErr w:type="gramStart"/>
      <w:r w:rsidRPr="00203A18">
        <w:rPr>
          <w:rFonts w:ascii="宋体" w:eastAsia="宋体" w:hAnsi="宋体" w:cs="宋体" w:hint="eastAsia"/>
          <w:color w:val="000000"/>
          <w:kern w:val="0"/>
          <w:szCs w:val="21"/>
        </w:rPr>
        <w:t>网银一直</w:t>
      </w:r>
      <w:proofErr w:type="gramEnd"/>
      <w:r w:rsidRPr="00203A18">
        <w:rPr>
          <w:rFonts w:ascii="宋体" w:eastAsia="宋体" w:hAnsi="宋体" w:cs="宋体" w:hint="eastAsia"/>
          <w:color w:val="000000"/>
          <w:kern w:val="0"/>
          <w:szCs w:val="21"/>
        </w:rPr>
        <w:t>由刘德先保管。内幕信息敏感期内，刘德先控制使用“李某”账户</w:t>
      </w:r>
      <w:proofErr w:type="gramStart"/>
      <w:r w:rsidRPr="00203A18">
        <w:rPr>
          <w:rFonts w:ascii="宋体" w:eastAsia="宋体" w:hAnsi="宋体" w:cs="宋体" w:hint="eastAsia"/>
          <w:color w:val="000000"/>
          <w:kern w:val="0"/>
          <w:szCs w:val="21"/>
        </w:rPr>
        <w:t>组亏损</w:t>
      </w:r>
      <w:proofErr w:type="gramEnd"/>
      <w:r w:rsidRPr="00203A18">
        <w:rPr>
          <w:rFonts w:ascii="宋体" w:eastAsia="宋体" w:hAnsi="宋体" w:cs="宋体" w:hint="eastAsia"/>
          <w:color w:val="000000"/>
          <w:kern w:val="0"/>
          <w:szCs w:val="21"/>
        </w:rPr>
        <w:t>卖出其他股票后，大部分资金用于买入“华泰股份”，买入意愿强烈，交易行为明显异常。</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上述违法事实，有相关证券账户资料、证券账户交易流水、资金账户资料、银行账户资金流水、相关人员询问笔录、通话记录、电子邮箱等证据证明，足以认定。</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刘德先的上述行为违反了《证券法》第七十三条、第七十六条第一款的规定，构成《证券法》第二百零二条所述内幕交易行为。</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刘德先及其代理人提出如下陈述、申辩意见：</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一、本案证据不足以认定违法事实。第一，现有证据无法证明刘德先获取内幕信息。无书面证据直接证明卜某芹获取内幕信息，刘德先、卜某芹的通讯记录不足以证明刘德先获知内幕信息。第二，现有证据无法证明刘德先控制使用“李某”账户组。一方面，“李某”账户组的交易与刘德先本人账户交易不存在大量重合；另一方面，我会关于“李某”账户组下单电脑的MAC地址认定有误。第三，相关人员交易“华泰股份”并非基于知悉内幕信息，是正常交易行为。</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二、涉案资金并非刘德先所有，刘德先也未获得涉案交易的任何利益，其不存在内幕交易。</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三、本案适用法律错误。第一，涉案的资金不是刘德先所有，刘德先没有获得涉案交易的任何利益，不存在任何违法所得。第二，在无任何违法所得的情况下，告知书适用法律明显错误。</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四、本案处罚幅度失当，违反了行政法的比例原则、信赖保护原则。</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lastRenderedPageBreak/>
        <w:t>综上，刘德先认为其未进行内幕交易，请求免除对其的处罚。</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经复核，我会认为：</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一、本案事实清楚，证据确凿。第一，卜某芹作为公司的财务监督人，于2016年6月8日参加了华泰股份非公开发行方案的讨论，为内幕信息知情人，且有与会人员的记录、询问笔录等相关书面证据证明。第二，刘德先与卜某芹系夫妻关系，在内幕信息敏感期内联络频繁。第三，内幕信息敏感期内，刘德先控制使用“李某”账户组，亏损卖出多只股票，大部分资金用来买入“华泰股份”，且“李某”账户组买入股票单一，刘德先交易“华泰股份”的行为明显异常，且无正当理由或正当信息来源。</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二、我会依法调取的证据足以认定“李某”账户组由刘德先实际控制使用。第一，“李某”账户组对应的三方存管银行的银行卡及交易密码均由刘德先保管，刘德先对账户内资金划转具有控制权。第二，“李某东”“李某梅”“高某君”三个账户中，有3,425.13万元直接来源于“刘德先”证券账户转出的资金，刘德先在笔录中承认其本人证券账户里的资金为其家庭财产，由此，可以确定“李某”账户组内资金至少有3,425.13万元为刘德先所有。第三，“李某”账户组转入的8,928.25万元资金中，有6,875.66万元由刘德先名下银行账户直接转入，占比77%。“李某”账户内资金共1,269万元，其中有1,000万元直接来源于金泰集团，其他三个账户的资金直接来自于刘德先名下银行账户的资金占比为89.76%。第四，李某、李某东、李某梅、高某君四人均无法说清其名下账户内资金的具体情况，且李某、李某东、李某梅三人均不清楚名下账户内资金归属。第五，刘德先和其弟刘某辩称，“李某”账户组内资金为刘某在金泰集团的集资款，并</w:t>
      </w:r>
      <w:proofErr w:type="gramStart"/>
      <w:r w:rsidRPr="00203A18">
        <w:rPr>
          <w:rFonts w:ascii="宋体" w:eastAsia="宋体" w:hAnsi="宋体" w:cs="宋体" w:hint="eastAsia"/>
          <w:color w:val="000000"/>
          <w:kern w:val="0"/>
          <w:szCs w:val="21"/>
        </w:rPr>
        <w:t>称办理</w:t>
      </w:r>
      <w:proofErr w:type="gramEnd"/>
      <w:r w:rsidRPr="00203A18">
        <w:rPr>
          <w:rFonts w:ascii="宋体" w:eastAsia="宋体" w:hAnsi="宋体" w:cs="宋体" w:hint="eastAsia"/>
          <w:color w:val="000000"/>
          <w:kern w:val="0"/>
          <w:szCs w:val="21"/>
        </w:rPr>
        <w:t>集资款都是自己编的名字，对集资款项从不做统计，不会关注金泰集团是否会按约定利息支付，从未与金泰集团对过账，二人辩解内容与常理不符。此外，刘德先、刘某、朱某平三人在集资款事项的表述中存在多处矛盾。综上，我会对“李某”账户组内资金为刘某所有的说法和证据不予采信。第六，据调查，刘某及其爱人任某军名下证券账户资金均在50万元以内，刘某将6,000万元至7,000万元巨额资金存入他人名下证券账户，刘德先、刘某对该笔巨款的来源及存入他人证券账户的原因均无合理解释，对该笔巨款为刘某自有资金的说法不予采信。</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三、我会适用法律正确。刘德先及其代理人关于“李某”账户组资金来源的辩解，不能否定刘德先实际控制、使用“李某”账户组的事实。刘德先控制使用“李某”账户组在内幕信息敏感期</w:t>
      </w:r>
      <w:proofErr w:type="gramStart"/>
      <w:r w:rsidRPr="00203A18">
        <w:rPr>
          <w:rFonts w:ascii="宋体" w:eastAsia="宋体" w:hAnsi="宋体" w:cs="宋体" w:hint="eastAsia"/>
          <w:color w:val="000000"/>
          <w:kern w:val="0"/>
          <w:szCs w:val="21"/>
        </w:rPr>
        <w:t>内亏损</w:t>
      </w:r>
      <w:proofErr w:type="gramEnd"/>
      <w:r w:rsidRPr="00203A18">
        <w:rPr>
          <w:rFonts w:ascii="宋体" w:eastAsia="宋体" w:hAnsi="宋体" w:cs="宋体" w:hint="eastAsia"/>
          <w:color w:val="000000"/>
          <w:kern w:val="0"/>
          <w:szCs w:val="21"/>
        </w:rPr>
        <w:t>卖出其他股票并将卖出所得资金的大部分用来买入“华泰股份”，买入的时间与卜某芹参与公司非公开发行（定向增发）方案讨论的时间基本吻合，且单向买入“华泰股份”的意愿强烈，交易行为明显异常，其行为违反了《证券法》第七十三条、第七十六条第一款的规定，构成《证券法》第二百零二条所述内幕交易行为。上述违法事实，有相关证券账户资料、证券账户交易流水等在案证据证明，足以认定。本案事实清楚，适用法律正确。</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四、结合当事人违法的事实、性质、情节和社会危害程度，我会决定对刘德先没收违法所得，并处以违法所得三倍罚款。将罚款金额调整为14,731,483.68元。</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根据当事人违法行为的事实、性质、情节与社会危害程度，依据《证券法》第二百零二条的规定，我会决定：没收刘德</w:t>
      </w:r>
      <w:proofErr w:type="gramStart"/>
      <w:r w:rsidRPr="00203A18">
        <w:rPr>
          <w:rFonts w:ascii="宋体" w:eastAsia="宋体" w:hAnsi="宋体" w:cs="宋体" w:hint="eastAsia"/>
          <w:color w:val="000000"/>
          <w:kern w:val="0"/>
          <w:szCs w:val="21"/>
        </w:rPr>
        <w:t>先违法</w:t>
      </w:r>
      <w:proofErr w:type="gramEnd"/>
      <w:r w:rsidRPr="00203A18">
        <w:rPr>
          <w:rFonts w:ascii="宋体" w:eastAsia="宋体" w:hAnsi="宋体" w:cs="宋体" w:hint="eastAsia"/>
          <w:color w:val="000000"/>
          <w:kern w:val="0"/>
          <w:szCs w:val="21"/>
        </w:rPr>
        <w:t>所得4,910,494.56元，并处以14,731,483.68元罚款。</w:t>
      </w:r>
    </w:p>
    <w:p w:rsidR="00203A18" w:rsidRPr="00203A18" w:rsidRDefault="00203A18" w:rsidP="00203A18">
      <w:pPr>
        <w:widowControl/>
        <w:shd w:val="clear" w:color="auto" w:fill="FFFFFF"/>
        <w:spacing w:line="360" w:lineRule="atLeast"/>
        <w:ind w:firstLine="420"/>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lastRenderedPageBreak/>
        <w:t>上述当事人应自收到本处罚决定书之日起15日内，将罚没款汇交中国证券监督管理委员会（财政</w:t>
      </w:r>
      <w:proofErr w:type="gramStart"/>
      <w:r w:rsidRPr="00203A18">
        <w:rPr>
          <w:rFonts w:ascii="宋体" w:eastAsia="宋体" w:hAnsi="宋体" w:cs="宋体" w:hint="eastAsia"/>
          <w:color w:val="000000"/>
          <w:kern w:val="0"/>
          <w:szCs w:val="21"/>
        </w:rPr>
        <w:t>汇缴专户</w:t>
      </w:r>
      <w:proofErr w:type="gramEnd"/>
      <w:r w:rsidRPr="00203A18">
        <w:rPr>
          <w:rFonts w:ascii="宋体" w:eastAsia="宋体" w:hAnsi="宋体" w:cs="宋体" w:hint="eastAsia"/>
          <w:color w:val="000000"/>
          <w:kern w:val="0"/>
          <w:szCs w:val="21"/>
        </w:rPr>
        <w:t>），开户银行：中信银行总行营业部，账号：7111010189800000162，由该行直接上缴国库。当事人还应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203A18" w:rsidRPr="00203A18" w:rsidRDefault="00203A18" w:rsidP="00203A18">
      <w:pPr>
        <w:widowControl/>
        <w:shd w:val="clear" w:color="auto" w:fill="FFFFFF"/>
        <w:spacing w:line="360" w:lineRule="atLeast"/>
        <w:jc w:val="left"/>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 </w:t>
      </w:r>
    </w:p>
    <w:p w:rsidR="00203A18" w:rsidRPr="00203A18" w:rsidRDefault="00203A18" w:rsidP="00203A18">
      <w:pPr>
        <w:widowControl/>
        <w:shd w:val="clear" w:color="auto" w:fill="FFFFFF"/>
        <w:spacing w:line="360" w:lineRule="atLeast"/>
        <w:jc w:val="left"/>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 </w:t>
      </w:r>
    </w:p>
    <w:p w:rsidR="00203A18" w:rsidRPr="00203A18" w:rsidRDefault="00203A18" w:rsidP="00203A18">
      <w:pPr>
        <w:widowControl/>
        <w:shd w:val="clear" w:color="auto" w:fill="FFFFFF"/>
        <w:spacing w:line="360" w:lineRule="atLeast"/>
        <w:jc w:val="left"/>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 </w:t>
      </w:r>
    </w:p>
    <w:p w:rsidR="00203A18" w:rsidRPr="00203A18" w:rsidRDefault="00203A18" w:rsidP="00203A18">
      <w:pPr>
        <w:widowControl/>
        <w:shd w:val="clear" w:color="auto" w:fill="FFFFFF"/>
        <w:spacing w:line="360" w:lineRule="atLeast"/>
        <w:jc w:val="left"/>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 </w:t>
      </w:r>
    </w:p>
    <w:p w:rsidR="00203A18" w:rsidRPr="00203A18" w:rsidRDefault="00203A18" w:rsidP="00203A1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中国证监会</w:t>
      </w:r>
      <w:proofErr w:type="gramStart"/>
      <w:r w:rsidRPr="00203A18">
        <w:rPr>
          <w:rFonts w:ascii="宋体" w:eastAsia="宋体" w:hAnsi="宋体" w:cs="宋体" w:hint="eastAsia"/>
          <w:color w:val="000000"/>
          <w:kern w:val="0"/>
          <w:szCs w:val="21"/>
        </w:rPr>
        <w:t xml:space="preserve">　　　　　</w:t>
      </w:r>
      <w:proofErr w:type="gramEnd"/>
      <w:r w:rsidRPr="00203A18">
        <w:rPr>
          <w:rFonts w:ascii="宋体" w:eastAsia="宋体" w:hAnsi="宋体" w:cs="宋体" w:hint="eastAsia"/>
          <w:color w:val="000000"/>
          <w:kern w:val="0"/>
          <w:szCs w:val="21"/>
        </w:rPr>
        <w:t> </w:t>
      </w:r>
    </w:p>
    <w:p w:rsidR="00203A18" w:rsidRPr="00203A18" w:rsidRDefault="00203A18" w:rsidP="00203A1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 xml:space="preserve">2019年6月12日　　</w:t>
      </w:r>
      <w:proofErr w:type="gramStart"/>
      <w:r w:rsidRPr="00203A18">
        <w:rPr>
          <w:rFonts w:ascii="宋体" w:eastAsia="宋体" w:hAnsi="宋体" w:cs="宋体" w:hint="eastAsia"/>
          <w:color w:val="000000"/>
          <w:kern w:val="0"/>
          <w:szCs w:val="21"/>
        </w:rPr>
        <w:t xml:space="preserve">　　</w:t>
      </w:r>
      <w:proofErr w:type="gramEnd"/>
    </w:p>
    <w:p w:rsidR="00203A18" w:rsidRPr="00203A18" w:rsidRDefault="00203A18" w:rsidP="00203A18">
      <w:pPr>
        <w:widowControl/>
        <w:shd w:val="clear" w:color="auto" w:fill="FFFFFF"/>
        <w:spacing w:line="360" w:lineRule="atLeast"/>
        <w:ind w:firstLine="210"/>
        <w:jc w:val="left"/>
        <w:rPr>
          <w:rFonts w:ascii="楷体" w:eastAsia="楷体" w:hAnsi="楷体" w:cs="宋体" w:hint="eastAsia"/>
          <w:color w:val="000000"/>
          <w:kern w:val="0"/>
          <w:sz w:val="24"/>
          <w:szCs w:val="24"/>
        </w:rPr>
      </w:pPr>
      <w:r w:rsidRPr="00203A18">
        <w:rPr>
          <w:rFonts w:ascii="宋体" w:eastAsia="宋体" w:hAnsi="宋体" w:cs="宋体" w:hint="eastAsia"/>
          <w:color w:val="000000"/>
          <w:kern w:val="0"/>
          <w:szCs w:val="21"/>
        </w:rPr>
        <w:t> </w:t>
      </w:r>
    </w:p>
    <w:p w:rsidR="00203A18" w:rsidRPr="00203A18" w:rsidRDefault="00203A18" w:rsidP="00203A1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203A18" w:rsidRPr="00203A18" w:rsidTr="00203A18">
        <w:trPr>
          <w:tblCellSpacing w:w="15" w:type="dxa"/>
          <w:jc w:val="center"/>
        </w:trPr>
        <w:tc>
          <w:tcPr>
            <w:tcW w:w="900" w:type="dxa"/>
            <w:vAlign w:val="center"/>
            <w:hideMark/>
          </w:tcPr>
          <w:p w:rsidR="00203A18" w:rsidRPr="00203A18" w:rsidRDefault="00203A18" w:rsidP="00203A18">
            <w:pPr>
              <w:widowControl/>
              <w:jc w:val="left"/>
              <w:rPr>
                <w:rFonts w:ascii="宋体" w:eastAsia="宋体" w:hAnsi="宋体" w:cs="宋体" w:hint="eastAsia"/>
                <w:kern w:val="0"/>
                <w:sz w:val="18"/>
                <w:szCs w:val="18"/>
              </w:rPr>
            </w:pPr>
            <w:r w:rsidRPr="00203A18">
              <w:rPr>
                <w:rFonts w:ascii="宋体" w:eastAsia="宋体" w:hAnsi="宋体" w:cs="宋体"/>
                <w:kern w:val="0"/>
                <w:sz w:val="18"/>
                <w:szCs w:val="18"/>
              </w:rPr>
              <w:t> </w:t>
            </w:r>
          </w:p>
        </w:tc>
        <w:tc>
          <w:tcPr>
            <w:tcW w:w="1200" w:type="dxa"/>
            <w:vAlign w:val="center"/>
            <w:hideMark/>
          </w:tcPr>
          <w:p w:rsidR="00203A18" w:rsidRPr="00203A18" w:rsidRDefault="00203A18" w:rsidP="00203A18">
            <w:pPr>
              <w:widowControl/>
              <w:jc w:val="left"/>
              <w:rPr>
                <w:rFonts w:ascii="宋体" w:eastAsia="宋体" w:hAnsi="宋体" w:cs="宋体"/>
                <w:kern w:val="0"/>
                <w:sz w:val="18"/>
                <w:szCs w:val="18"/>
              </w:rPr>
            </w:pPr>
            <w:r w:rsidRPr="00203A1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03A18" w:rsidRPr="00203A18" w:rsidRDefault="00203A18" w:rsidP="00203A18">
            <w:pPr>
              <w:widowControl/>
              <w:jc w:val="left"/>
              <w:rPr>
                <w:rFonts w:ascii="宋体" w:eastAsia="宋体" w:hAnsi="宋体" w:cs="宋体"/>
                <w:kern w:val="0"/>
                <w:sz w:val="18"/>
                <w:szCs w:val="18"/>
              </w:rPr>
            </w:pPr>
            <w:r w:rsidRPr="00203A1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203A18" w:rsidRPr="00203A18" w:rsidRDefault="00203A18" w:rsidP="00203A18">
            <w:pPr>
              <w:widowControl/>
              <w:jc w:val="left"/>
              <w:rPr>
                <w:rFonts w:ascii="宋体" w:eastAsia="宋体" w:hAnsi="宋体" w:cs="宋体"/>
                <w:kern w:val="0"/>
                <w:sz w:val="18"/>
                <w:szCs w:val="18"/>
              </w:rPr>
            </w:pPr>
            <w:r w:rsidRPr="00203A1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203A18" w:rsidRPr="00203A18" w:rsidRDefault="00203A18" w:rsidP="00203A18">
      <w:pPr>
        <w:widowControl/>
        <w:jc w:val="center"/>
        <w:rPr>
          <w:rFonts w:ascii="微软雅黑" w:eastAsia="微软雅黑" w:hAnsi="微软雅黑" w:cs="宋体"/>
          <w:color w:val="515151"/>
          <w:kern w:val="0"/>
          <w:sz w:val="18"/>
          <w:szCs w:val="18"/>
        </w:rPr>
      </w:pPr>
      <w:hyperlink r:id="rId11" w:tgtFrame="_blank" w:history="1">
        <w:r w:rsidRPr="00203A18">
          <w:rPr>
            <w:rFonts w:ascii="微软雅黑" w:eastAsia="微软雅黑" w:hAnsi="微软雅黑" w:cs="宋体" w:hint="eastAsia"/>
            <w:color w:val="0000FF"/>
            <w:kern w:val="0"/>
            <w:sz w:val="18"/>
            <w:szCs w:val="18"/>
            <w:u w:val="single"/>
          </w:rPr>
          <w:t>关于我们</w:t>
        </w:r>
      </w:hyperlink>
      <w:r w:rsidRPr="00203A18">
        <w:rPr>
          <w:rFonts w:ascii="微软雅黑" w:eastAsia="微软雅黑" w:hAnsi="微软雅黑" w:cs="宋体" w:hint="eastAsia"/>
          <w:color w:val="515151"/>
          <w:kern w:val="0"/>
          <w:sz w:val="18"/>
          <w:szCs w:val="18"/>
        </w:rPr>
        <w:t> - </w:t>
      </w:r>
      <w:hyperlink r:id="rId12" w:tgtFrame="_blank" w:history="1">
        <w:r w:rsidRPr="00203A18">
          <w:rPr>
            <w:rFonts w:ascii="微软雅黑" w:eastAsia="微软雅黑" w:hAnsi="微软雅黑" w:cs="宋体" w:hint="eastAsia"/>
            <w:color w:val="0000FF"/>
            <w:kern w:val="0"/>
            <w:sz w:val="18"/>
            <w:szCs w:val="18"/>
            <w:u w:val="single"/>
          </w:rPr>
          <w:t>法律声明</w:t>
        </w:r>
      </w:hyperlink>
      <w:r w:rsidRPr="00203A18">
        <w:rPr>
          <w:rFonts w:ascii="微软雅黑" w:eastAsia="微软雅黑" w:hAnsi="微软雅黑" w:cs="宋体" w:hint="eastAsia"/>
          <w:color w:val="515151"/>
          <w:kern w:val="0"/>
          <w:sz w:val="18"/>
          <w:szCs w:val="18"/>
        </w:rPr>
        <w:t> - </w:t>
      </w:r>
      <w:hyperlink r:id="rId13" w:tgtFrame="_blank" w:history="1">
        <w:r w:rsidRPr="00203A18">
          <w:rPr>
            <w:rFonts w:ascii="微软雅黑" w:eastAsia="微软雅黑" w:hAnsi="微软雅黑" w:cs="宋体" w:hint="eastAsia"/>
            <w:color w:val="0000FF"/>
            <w:kern w:val="0"/>
            <w:sz w:val="18"/>
            <w:szCs w:val="18"/>
            <w:u w:val="single"/>
          </w:rPr>
          <w:t>联系我们</w:t>
        </w:r>
      </w:hyperlink>
    </w:p>
    <w:p w:rsidR="00203A18" w:rsidRPr="00203A18" w:rsidRDefault="00203A18" w:rsidP="00203A18">
      <w:pPr>
        <w:widowControl/>
        <w:jc w:val="center"/>
        <w:rPr>
          <w:rFonts w:ascii="微软雅黑" w:eastAsia="微软雅黑" w:hAnsi="微软雅黑" w:cs="宋体" w:hint="eastAsia"/>
          <w:color w:val="515151"/>
          <w:kern w:val="0"/>
          <w:sz w:val="18"/>
          <w:szCs w:val="18"/>
        </w:rPr>
      </w:pPr>
      <w:r w:rsidRPr="00203A18">
        <w:rPr>
          <w:rFonts w:ascii="微软雅黑" w:eastAsia="微软雅黑" w:hAnsi="微软雅黑" w:cs="宋体" w:hint="eastAsia"/>
          <w:color w:val="515151"/>
          <w:kern w:val="0"/>
          <w:sz w:val="18"/>
          <w:szCs w:val="18"/>
        </w:rPr>
        <w:t>版权所有：中国证券监督管理委员会 京ICP备 05035542号</w:t>
      </w:r>
    </w:p>
    <w:p w:rsidR="00203A18" w:rsidRPr="00203A18" w:rsidRDefault="00203A18" w:rsidP="00203A18">
      <w:pPr>
        <w:widowControl/>
        <w:jc w:val="center"/>
        <w:rPr>
          <w:rFonts w:ascii="微软雅黑" w:eastAsia="微软雅黑" w:hAnsi="微软雅黑" w:cs="宋体" w:hint="eastAsia"/>
          <w:color w:val="515151"/>
          <w:kern w:val="0"/>
          <w:sz w:val="18"/>
          <w:szCs w:val="18"/>
        </w:rPr>
      </w:pPr>
      <w:r w:rsidRPr="00203A18">
        <w:rPr>
          <w:rFonts w:ascii="微软雅黑" w:eastAsia="微软雅黑" w:hAnsi="微软雅黑" w:cs="宋体" w:hint="eastAsia"/>
          <w:color w:val="515151"/>
          <w:kern w:val="0"/>
          <w:sz w:val="18"/>
          <w:szCs w:val="18"/>
        </w:rPr>
        <w:t>地址：北京市西城区金融大街19号富凯大厦A座 邮编：100033</w:t>
      </w:r>
    </w:p>
    <w:p w:rsidR="00203A18" w:rsidRPr="00203A18" w:rsidRDefault="00203A18" w:rsidP="00203A18">
      <w:pPr>
        <w:widowControl/>
        <w:jc w:val="center"/>
        <w:rPr>
          <w:rFonts w:ascii="微软雅黑" w:eastAsia="微软雅黑" w:hAnsi="微软雅黑" w:cs="宋体" w:hint="eastAsia"/>
          <w:color w:val="515151"/>
          <w:kern w:val="0"/>
          <w:sz w:val="18"/>
          <w:szCs w:val="18"/>
        </w:rPr>
      </w:pPr>
      <w:r w:rsidRPr="00203A18">
        <w:rPr>
          <w:rFonts w:ascii="微软雅黑" w:eastAsia="微软雅黑" w:hAnsi="微软雅黑" w:cs="宋体" w:hint="eastAsia"/>
          <w:color w:val="515151"/>
          <w:kern w:val="0"/>
          <w:sz w:val="18"/>
          <w:szCs w:val="18"/>
        </w:rPr>
        <w:t>建议使用IE5.5以上浏览器，分辨率1024*768</w:t>
      </w:r>
    </w:p>
    <w:p w:rsidR="00F84852" w:rsidRPr="00203A18" w:rsidRDefault="00F84852"/>
    <w:sectPr w:rsidR="00F84852" w:rsidRPr="00203A1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A18"/>
    <w:rsid w:val="00203A18"/>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F2932-5ED4-4B51-BE38-853F9F4F9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3A1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3A18"/>
    <w:rPr>
      <w:b/>
      <w:bCs/>
    </w:rPr>
  </w:style>
  <w:style w:type="paragraph" w:customStyle="1" w:styleId="p0">
    <w:name w:val="p0"/>
    <w:basedOn w:val="a"/>
    <w:rsid w:val="00203A18"/>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203A1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203A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662146">
      <w:bodyDiv w:val="1"/>
      <w:marLeft w:val="0"/>
      <w:marRight w:val="0"/>
      <w:marTop w:val="0"/>
      <w:marBottom w:val="0"/>
      <w:divBdr>
        <w:top w:val="none" w:sz="0" w:space="0" w:color="auto"/>
        <w:left w:val="none" w:sz="0" w:space="0" w:color="auto"/>
        <w:bottom w:val="none" w:sz="0" w:space="0" w:color="auto"/>
        <w:right w:val="none" w:sz="0" w:space="0" w:color="auto"/>
      </w:divBdr>
      <w:divsChild>
        <w:div w:id="242841834">
          <w:marLeft w:val="0"/>
          <w:marRight w:val="0"/>
          <w:marTop w:val="150"/>
          <w:marBottom w:val="150"/>
          <w:divBdr>
            <w:top w:val="none" w:sz="0" w:space="0" w:color="auto"/>
            <w:left w:val="none" w:sz="0" w:space="0" w:color="auto"/>
            <w:bottom w:val="none" w:sz="0" w:space="0" w:color="auto"/>
            <w:right w:val="none" w:sz="0" w:space="0" w:color="auto"/>
          </w:divBdr>
        </w:div>
        <w:div w:id="139348155">
          <w:marLeft w:val="0"/>
          <w:marRight w:val="0"/>
          <w:marTop w:val="0"/>
          <w:marBottom w:val="0"/>
          <w:divBdr>
            <w:top w:val="single" w:sz="6" w:space="8" w:color="B5B5B5"/>
            <w:left w:val="single" w:sz="6" w:space="0" w:color="B5B5B5"/>
            <w:bottom w:val="single" w:sz="6" w:space="8" w:color="B5B5B5"/>
            <w:right w:val="single" w:sz="6" w:space="0" w:color="B5B5B5"/>
          </w:divBdr>
          <w:divsChild>
            <w:div w:id="1266494537">
              <w:marLeft w:val="0"/>
              <w:marRight w:val="0"/>
              <w:marTop w:val="0"/>
              <w:marBottom w:val="0"/>
              <w:divBdr>
                <w:top w:val="none" w:sz="0" w:space="0" w:color="auto"/>
                <w:left w:val="none" w:sz="0" w:space="0" w:color="auto"/>
                <w:bottom w:val="none" w:sz="0" w:space="0" w:color="auto"/>
                <w:right w:val="none" w:sz="0" w:space="0" w:color="auto"/>
              </w:divBdr>
            </w:div>
            <w:div w:id="283535968">
              <w:marLeft w:val="0"/>
              <w:marRight w:val="0"/>
              <w:marTop w:val="0"/>
              <w:marBottom w:val="0"/>
              <w:divBdr>
                <w:top w:val="none" w:sz="0" w:space="0" w:color="auto"/>
                <w:left w:val="none" w:sz="0" w:space="0" w:color="auto"/>
                <w:bottom w:val="none" w:sz="0" w:space="0" w:color="auto"/>
                <w:right w:val="none" w:sz="0" w:space="0" w:color="auto"/>
              </w:divBdr>
            </w:div>
            <w:div w:id="40634472">
              <w:marLeft w:val="0"/>
              <w:marRight w:val="0"/>
              <w:marTop w:val="120"/>
              <w:marBottom w:val="120"/>
              <w:divBdr>
                <w:top w:val="none" w:sz="0" w:space="0" w:color="auto"/>
                <w:left w:val="none" w:sz="0" w:space="0" w:color="auto"/>
                <w:bottom w:val="none" w:sz="0" w:space="0" w:color="auto"/>
                <w:right w:val="none" w:sz="0" w:space="0" w:color="auto"/>
              </w:divBdr>
            </w:div>
          </w:divsChild>
        </w:div>
        <w:div w:id="1475563057">
          <w:marLeft w:val="0"/>
          <w:marRight w:val="0"/>
          <w:marTop w:val="120"/>
          <w:marBottom w:val="0"/>
          <w:divBdr>
            <w:top w:val="none" w:sz="0" w:space="0" w:color="auto"/>
            <w:left w:val="none" w:sz="0" w:space="0" w:color="auto"/>
            <w:bottom w:val="none" w:sz="0" w:space="0" w:color="auto"/>
            <w:right w:val="none" w:sz="0" w:space="0" w:color="auto"/>
          </w:divBdr>
          <w:divsChild>
            <w:div w:id="1017587226">
              <w:marLeft w:val="0"/>
              <w:marRight w:val="0"/>
              <w:marTop w:val="60"/>
              <w:marBottom w:val="0"/>
              <w:divBdr>
                <w:top w:val="none" w:sz="0" w:space="0" w:color="auto"/>
                <w:left w:val="none" w:sz="0" w:space="0" w:color="auto"/>
                <w:bottom w:val="none" w:sz="0" w:space="0" w:color="auto"/>
                <w:right w:val="none" w:sz="0" w:space="0" w:color="auto"/>
              </w:divBdr>
            </w:div>
            <w:div w:id="1153764011">
              <w:marLeft w:val="0"/>
              <w:marRight w:val="0"/>
              <w:marTop w:val="60"/>
              <w:marBottom w:val="0"/>
              <w:divBdr>
                <w:top w:val="none" w:sz="0" w:space="0" w:color="auto"/>
                <w:left w:val="none" w:sz="0" w:space="0" w:color="auto"/>
                <w:bottom w:val="none" w:sz="0" w:space="0" w:color="auto"/>
                <w:right w:val="none" w:sz="0" w:space="0" w:color="auto"/>
              </w:divBdr>
            </w:div>
            <w:div w:id="1183087999">
              <w:marLeft w:val="0"/>
              <w:marRight w:val="0"/>
              <w:marTop w:val="60"/>
              <w:marBottom w:val="0"/>
              <w:divBdr>
                <w:top w:val="none" w:sz="0" w:space="0" w:color="auto"/>
                <w:left w:val="none" w:sz="0" w:space="0" w:color="auto"/>
                <w:bottom w:val="none" w:sz="0" w:space="0" w:color="auto"/>
                <w:right w:val="none" w:sz="0" w:space="0" w:color="auto"/>
              </w:divBdr>
            </w:div>
            <w:div w:id="6124379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6/t20190627_35814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816</Words>
  <Characters>4656</Characters>
  <Application>Microsoft Office Word</Application>
  <DocSecurity>0</DocSecurity>
  <Lines>38</Lines>
  <Paragraphs>10</Paragraphs>
  <ScaleCrop>false</ScaleCrop>
  <Company/>
  <LinksUpToDate>false</LinksUpToDate>
  <CharactersWithSpaces>5462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2020-02-14T11:35:00Z</dcterms:created>
  <dcterms:modified xsi:type="dcterms:W3CDTF">2020-02-14T11:36:00Z</dcterms:modified>
</cp:coreProperties>
</file>