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7B0" w:rsidRPr="000227B0" w:rsidRDefault="000227B0" w:rsidP="000227B0">
      <w:pPr>
        <w:widowControl/>
        <w:jc w:val="center"/>
        <w:rPr>
          <w:rFonts w:ascii="微软雅黑" w:eastAsia="微软雅黑" w:hAnsi="微软雅黑" w:cs="宋体"/>
          <w:color w:val="000000"/>
          <w:kern w:val="0"/>
          <w:sz w:val="18"/>
          <w:szCs w:val="18"/>
        </w:rPr>
      </w:pPr>
      <w:r w:rsidRPr="000227B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227B0" w:rsidRPr="000227B0" w:rsidTr="000227B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227B0" w:rsidRPr="000227B0">
              <w:trPr>
                <w:tblCellSpacing w:w="0" w:type="dxa"/>
              </w:trPr>
              <w:tc>
                <w:tcPr>
                  <w:tcW w:w="2500" w:type="pct"/>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hint="eastAsia"/>
                      <w:color w:val="686868"/>
                      <w:kern w:val="0"/>
                      <w:sz w:val="18"/>
                      <w:szCs w:val="18"/>
                    </w:rPr>
                  </w:pPr>
                  <w:r w:rsidRPr="000227B0">
                    <w:rPr>
                      <w:rFonts w:ascii="宋体" w:eastAsia="宋体" w:hAnsi="宋体" w:cs="宋体"/>
                      <w:b/>
                      <w:bCs/>
                      <w:color w:val="686868"/>
                      <w:kern w:val="0"/>
                      <w:sz w:val="18"/>
                      <w:szCs w:val="18"/>
                    </w:rPr>
                    <w:t>索 引 号:</w:t>
                  </w:r>
                  <w:r w:rsidRPr="000227B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分类:</w:t>
                  </w:r>
                  <w:r w:rsidRPr="000227B0">
                    <w:rPr>
                      <w:rFonts w:ascii="宋体" w:eastAsia="宋体" w:hAnsi="宋体" w:cs="宋体"/>
                      <w:color w:val="686868"/>
                      <w:kern w:val="0"/>
                      <w:sz w:val="18"/>
                      <w:szCs w:val="18"/>
                    </w:rPr>
                    <w:t> 行政处罚 ; 行政处罚决定</w:t>
                  </w:r>
                </w:p>
              </w:tc>
            </w:tr>
          </w:tbl>
          <w:p w:rsidR="000227B0" w:rsidRPr="000227B0" w:rsidRDefault="000227B0" w:rsidP="000227B0">
            <w:pPr>
              <w:widowControl/>
              <w:jc w:val="left"/>
              <w:rPr>
                <w:rFonts w:ascii="宋体" w:eastAsia="宋体" w:hAnsi="宋体" w:cs="宋体"/>
                <w:color w:val="686868"/>
                <w:kern w:val="0"/>
                <w:sz w:val="18"/>
                <w:szCs w:val="18"/>
              </w:rPr>
            </w:pPr>
          </w:p>
        </w:tc>
      </w:tr>
      <w:tr w:rsidR="000227B0" w:rsidRPr="000227B0" w:rsidTr="000227B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227B0" w:rsidRPr="000227B0">
              <w:trPr>
                <w:tblCellSpacing w:w="0" w:type="dxa"/>
              </w:trPr>
              <w:tc>
                <w:tcPr>
                  <w:tcW w:w="2500" w:type="pct"/>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发布机构:</w:t>
                  </w:r>
                  <w:r w:rsidRPr="000227B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发文日期:</w:t>
                  </w:r>
                  <w:r w:rsidRPr="000227B0">
                    <w:rPr>
                      <w:rFonts w:ascii="宋体" w:eastAsia="宋体" w:hAnsi="宋体" w:cs="宋体"/>
                      <w:color w:val="686868"/>
                      <w:kern w:val="0"/>
                      <w:sz w:val="18"/>
                      <w:szCs w:val="18"/>
                    </w:rPr>
                    <w:t> 2019年06月19日</w:t>
                  </w:r>
                </w:p>
              </w:tc>
            </w:tr>
          </w:tbl>
          <w:p w:rsidR="000227B0" w:rsidRPr="000227B0" w:rsidRDefault="000227B0" w:rsidP="000227B0">
            <w:pPr>
              <w:widowControl/>
              <w:jc w:val="left"/>
              <w:rPr>
                <w:rFonts w:ascii="宋体" w:eastAsia="宋体" w:hAnsi="宋体" w:cs="宋体"/>
                <w:color w:val="686868"/>
                <w:kern w:val="0"/>
                <w:sz w:val="18"/>
                <w:szCs w:val="18"/>
              </w:rPr>
            </w:pPr>
          </w:p>
        </w:tc>
      </w:tr>
      <w:tr w:rsidR="000227B0" w:rsidRPr="000227B0" w:rsidTr="000227B0">
        <w:trPr>
          <w:tblCellSpacing w:w="0" w:type="dxa"/>
        </w:trPr>
        <w:tc>
          <w:tcPr>
            <w:tcW w:w="0" w:type="auto"/>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名　　称:</w:t>
            </w:r>
            <w:r w:rsidRPr="000227B0">
              <w:rPr>
                <w:rFonts w:ascii="宋体" w:eastAsia="宋体" w:hAnsi="宋体" w:cs="宋体"/>
                <w:color w:val="686868"/>
                <w:kern w:val="0"/>
                <w:sz w:val="18"/>
                <w:szCs w:val="18"/>
              </w:rPr>
              <w:t> 中国证监会行政处罚决定书（袁志敏、王宗明）</w:t>
            </w:r>
          </w:p>
        </w:tc>
      </w:tr>
      <w:tr w:rsidR="000227B0" w:rsidRPr="000227B0" w:rsidTr="000227B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227B0" w:rsidRPr="000227B0">
              <w:trPr>
                <w:tblCellSpacing w:w="0" w:type="dxa"/>
              </w:trPr>
              <w:tc>
                <w:tcPr>
                  <w:tcW w:w="2500" w:type="pct"/>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文　　号:</w:t>
                  </w:r>
                  <w:r w:rsidRPr="000227B0">
                    <w:rPr>
                      <w:rFonts w:ascii="宋体" w:eastAsia="宋体" w:hAnsi="宋体" w:cs="宋体"/>
                      <w:color w:val="686868"/>
                      <w:kern w:val="0"/>
                      <w:sz w:val="18"/>
                      <w:szCs w:val="18"/>
                    </w:rPr>
                    <w:t> </w:t>
                  </w:r>
                  <w:bookmarkStart w:id="0" w:name="_GoBack"/>
                  <w:r w:rsidRPr="000227B0">
                    <w:rPr>
                      <w:rFonts w:ascii="宋体" w:eastAsia="宋体" w:hAnsi="宋体" w:cs="宋体"/>
                      <w:color w:val="686868"/>
                      <w:kern w:val="0"/>
                      <w:sz w:val="18"/>
                      <w:szCs w:val="18"/>
                    </w:rPr>
                    <w:t>〔2019〕63号</w:t>
                  </w:r>
                  <w:bookmarkEnd w:id="0"/>
                </w:p>
              </w:tc>
              <w:tc>
                <w:tcPr>
                  <w:tcW w:w="0" w:type="auto"/>
                  <w:tcMar>
                    <w:top w:w="30" w:type="dxa"/>
                    <w:left w:w="30" w:type="dxa"/>
                    <w:bottom w:w="30" w:type="dxa"/>
                    <w:right w:w="30" w:type="dxa"/>
                  </w:tcMar>
                  <w:hideMark/>
                </w:tcPr>
                <w:p w:rsidR="000227B0" w:rsidRPr="000227B0" w:rsidRDefault="000227B0" w:rsidP="000227B0">
                  <w:pPr>
                    <w:widowControl/>
                    <w:jc w:val="left"/>
                    <w:rPr>
                      <w:rFonts w:ascii="宋体" w:eastAsia="宋体" w:hAnsi="宋体" w:cs="宋体"/>
                      <w:color w:val="686868"/>
                      <w:kern w:val="0"/>
                      <w:sz w:val="18"/>
                      <w:szCs w:val="18"/>
                    </w:rPr>
                  </w:pPr>
                  <w:r w:rsidRPr="000227B0">
                    <w:rPr>
                      <w:rFonts w:ascii="宋体" w:eastAsia="宋体" w:hAnsi="宋体" w:cs="宋体"/>
                      <w:b/>
                      <w:bCs/>
                      <w:color w:val="686868"/>
                      <w:kern w:val="0"/>
                      <w:sz w:val="18"/>
                      <w:szCs w:val="18"/>
                    </w:rPr>
                    <w:t>主 题 词:</w:t>
                  </w:r>
                </w:p>
              </w:tc>
            </w:tr>
          </w:tbl>
          <w:p w:rsidR="000227B0" w:rsidRPr="000227B0" w:rsidRDefault="000227B0" w:rsidP="000227B0">
            <w:pPr>
              <w:widowControl/>
              <w:jc w:val="left"/>
              <w:rPr>
                <w:rFonts w:ascii="宋体" w:eastAsia="宋体" w:hAnsi="宋体" w:cs="宋体"/>
                <w:color w:val="686868"/>
                <w:kern w:val="0"/>
                <w:sz w:val="18"/>
                <w:szCs w:val="18"/>
              </w:rPr>
            </w:pPr>
          </w:p>
        </w:tc>
      </w:tr>
    </w:tbl>
    <w:p w:rsidR="000227B0" w:rsidRPr="000227B0" w:rsidRDefault="000227B0" w:rsidP="000227B0">
      <w:pPr>
        <w:widowControl/>
        <w:jc w:val="center"/>
        <w:rPr>
          <w:rFonts w:ascii="微软雅黑" w:eastAsia="微软雅黑" w:hAnsi="微软雅黑" w:cs="宋体"/>
          <w:color w:val="000000"/>
          <w:kern w:val="0"/>
          <w:sz w:val="18"/>
          <w:szCs w:val="18"/>
        </w:rPr>
      </w:pPr>
      <w:r w:rsidRPr="000227B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227B0" w:rsidRPr="000227B0" w:rsidRDefault="000227B0" w:rsidP="000227B0">
      <w:pPr>
        <w:widowControl/>
        <w:shd w:val="clear" w:color="auto" w:fill="FFFFFF"/>
        <w:spacing w:after="240"/>
        <w:jc w:val="center"/>
        <w:rPr>
          <w:rFonts w:ascii="微软雅黑" w:eastAsia="微软雅黑" w:hAnsi="微软雅黑" w:cs="宋体" w:hint="eastAsia"/>
          <w:color w:val="000000"/>
          <w:kern w:val="0"/>
          <w:sz w:val="18"/>
          <w:szCs w:val="18"/>
        </w:rPr>
      </w:pPr>
      <w:r w:rsidRPr="000227B0">
        <w:rPr>
          <w:rFonts w:ascii="微软雅黑" w:eastAsia="微软雅黑" w:hAnsi="微软雅黑" w:cs="宋体" w:hint="eastAsia"/>
          <w:color w:val="000000"/>
          <w:kern w:val="0"/>
          <w:sz w:val="18"/>
          <w:szCs w:val="18"/>
        </w:rPr>
        <w:br/>
      </w:r>
      <w:r w:rsidRPr="000227B0">
        <w:rPr>
          <w:rFonts w:ascii="黑体" w:eastAsia="黑体" w:hAnsi="黑体" w:cs="宋体" w:hint="eastAsia"/>
          <w:b/>
          <w:bCs/>
          <w:color w:val="FF0000"/>
          <w:kern w:val="0"/>
          <w:sz w:val="36"/>
          <w:szCs w:val="36"/>
        </w:rPr>
        <w:t>中国证监会行政处罚决定书（袁志敏、王宗明）</w:t>
      </w:r>
    </w:p>
    <w:p w:rsidR="000227B0" w:rsidRPr="000227B0" w:rsidRDefault="000227B0" w:rsidP="000227B0">
      <w:pPr>
        <w:widowControl/>
        <w:shd w:val="clear" w:color="auto" w:fill="FFFFFF"/>
        <w:spacing w:line="360" w:lineRule="atLeast"/>
        <w:jc w:val="center"/>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〔2019〕63号</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Calibri" w:eastAsia="楷体" w:hAnsi="Calibri" w:cs="Calibri"/>
          <w:color w:val="000000"/>
          <w:kern w:val="0"/>
          <w:sz w:val="24"/>
          <w:szCs w:val="24"/>
        </w:rPr>
        <w:t> </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当事人：袁志敏，男，1961年3月出生，时任广州金发科技股份有限公司（以下简称金发科技）董事长，住址：广东省广州市天河区金田北街。</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王宗明，男，1984年8月出生，住址：湖南省浏阳市七宝山乡。</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依据《中华人民共和国证券法》（以下简称《证券法》）的有关规定，我会对袁志敏、王宗明内幕交易“金发科技”行为进行了立案调查、审理，并依法向当事人告知了</w:t>
      </w:r>
      <w:proofErr w:type="gramStart"/>
      <w:r w:rsidRPr="000227B0">
        <w:rPr>
          <w:rFonts w:ascii="宋体" w:eastAsia="宋体" w:hAnsi="宋体" w:cs="宋体" w:hint="eastAsia"/>
          <w:color w:val="000000"/>
          <w:kern w:val="0"/>
          <w:szCs w:val="21"/>
        </w:rPr>
        <w:t>作出</w:t>
      </w:r>
      <w:proofErr w:type="gramEnd"/>
      <w:r w:rsidRPr="000227B0">
        <w:rPr>
          <w:rFonts w:ascii="宋体" w:eastAsia="宋体" w:hAnsi="宋体" w:cs="宋体" w:hint="eastAsia"/>
          <w:color w:val="000000"/>
          <w:kern w:val="0"/>
          <w:szCs w:val="21"/>
        </w:rPr>
        <w:t>行政处罚的事实、理由、依据及当事人依法享有的权利，当事人王宗明提交了陈述申辩意见；应当事人袁志敏的要求，我会于2019年3月7日举行了听证会，听取了其陈述和申辩。本案现已调查、审理终结。</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经查明，袁志敏、王宗明存在以下违法事实：</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一、内幕信息的形成和公开过程</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金发科技董事长袁志敏在2014年以来开始了解员工持股计划的信息，但一直没有开展员工持股计划。</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2016年2月3日左右，袁志敏让金发科技董事会秘书宁某军准备员工持股计划的介绍材料。2月4日，宁某军电话联系广发证券股份有限公司（以下简称广发证券）赖某玲，询问市场上员工持股计划的实施情况，并约定春节后赖某玲到金发科技</w:t>
      </w:r>
      <w:proofErr w:type="gramStart"/>
      <w:r w:rsidRPr="000227B0">
        <w:rPr>
          <w:rFonts w:ascii="宋体" w:eastAsia="宋体" w:hAnsi="宋体" w:cs="宋体" w:hint="eastAsia"/>
          <w:color w:val="000000"/>
          <w:kern w:val="0"/>
          <w:szCs w:val="21"/>
        </w:rPr>
        <w:t>就员工</w:t>
      </w:r>
      <w:proofErr w:type="gramEnd"/>
      <w:r w:rsidRPr="000227B0">
        <w:rPr>
          <w:rFonts w:ascii="宋体" w:eastAsia="宋体" w:hAnsi="宋体" w:cs="宋体" w:hint="eastAsia"/>
          <w:color w:val="000000"/>
          <w:kern w:val="0"/>
          <w:szCs w:val="21"/>
        </w:rPr>
        <w:t>持股计划进行宣讲。当日，赖某玲通过电子邮件将《金发科技股份有限公司员工持股计划项目建议书》发送给宁某军，建议金发科技设立员工持股计划从二级市场增持本公司股票，并提供了两种方案设计。</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2月15日下午，赖某玲等人到访金发科技，向袁志敏、宁某军等人</w:t>
      </w:r>
      <w:proofErr w:type="gramStart"/>
      <w:r w:rsidRPr="000227B0">
        <w:rPr>
          <w:rFonts w:ascii="宋体" w:eastAsia="宋体" w:hAnsi="宋体" w:cs="宋体" w:hint="eastAsia"/>
          <w:color w:val="000000"/>
          <w:kern w:val="0"/>
          <w:szCs w:val="21"/>
        </w:rPr>
        <w:t>就员工</w:t>
      </w:r>
      <w:proofErr w:type="gramEnd"/>
      <w:r w:rsidRPr="000227B0">
        <w:rPr>
          <w:rFonts w:ascii="宋体" w:eastAsia="宋体" w:hAnsi="宋体" w:cs="宋体" w:hint="eastAsia"/>
          <w:color w:val="000000"/>
          <w:kern w:val="0"/>
          <w:szCs w:val="21"/>
        </w:rPr>
        <w:t>持股计划进行宣讲。宣讲结束后，</w:t>
      </w:r>
      <w:proofErr w:type="gramStart"/>
      <w:r w:rsidRPr="000227B0">
        <w:rPr>
          <w:rFonts w:ascii="宋体" w:eastAsia="宋体" w:hAnsi="宋体" w:cs="宋体" w:hint="eastAsia"/>
          <w:color w:val="000000"/>
          <w:kern w:val="0"/>
          <w:szCs w:val="21"/>
        </w:rPr>
        <w:t>袁志敏请广发</w:t>
      </w:r>
      <w:proofErr w:type="gramEnd"/>
      <w:r w:rsidRPr="000227B0">
        <w:rPr>
          <w:rFonts w:ascii="宋体" w:eastAsia="宋体" w:hAnsi="宋体" w:cs="宋体" w:hint="eastAsia"/>
          <w:color w:val="000000"/>
          <w:kern w:val="0"/>
          <w:szCs w:val="21"/>
        </w:rPr>
        <w:t>证券按三年</w:t>
      </w:r>
      <w:proofErr w:type="gramStart"/>
      <w:r w:rsidRPr="000227B0">
        <w:rPr>
          <w:rFonts w:ascii="宋体" w:eastAsia="宋体" w:hAnsi="宋体" w:cs="宋体" w:hint="eastAsia"/>
          <w:color w:val="000000"/>
          <w:kern w:val="0"/>
          <w:szCs w:val="21"/>
        </w:rPr>
        <w:t>期制定</w:t>
      </w:r>
      <w:proofErr w:type="gramEnd"/>
      <w:r w:rsidRPr="000227B0">
        <w:rPr>
          <w:rFonts w:ascii="宋体" w:eastAsia="宋体" w:hAnsi="宋体" w:cs="宋体" w:hint="eastAsia"/>
          <w:color w:val="000000"/>
          <w:kern w:val="0"/>
          <w:szCs w:val="21"/>
        </w:rPr>
        <w:t>一个员工持股计划方案以及此方案的时间表。</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2月16日下午，金发科技召集广发证券、广东南国德赛律师事务所、立信会计师事务所三家中介机构在金发科技办公楼会议室开会，讨论出具金发科技前次募集资金使用情况专</w:t>
      </w:r>
      <w:r w:rsidRPr="000227B0">
        <w:rPr>
          <w:rFonts w:ascii="宋体" w:eastAsia="宋体" w:hAnsi="宋体" w:cs="宋体" w:hint="eastAsia"/>
          <w:color w:val="000000"/>
          <w:kern w:val="0"/>
          <w:szCs w:val="21"/>
        </w:rPr>
        <w:lastRenderedPageBreak/>
        <w:t>项报告的时间问题，广发证券介绍了本次员工持股计划的安排，对中介机构的工作进行分工。2月16日至19日，中介机构按照分工准备员工持股计划草案、职工代表大会等材料。</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2月19日下午收市后，袁志敏确定启动员工持股计划，安排停牌事项，金发科技证券事务代表曹某颖向上海证券交易所申请公司股票自2月22日起停牌。</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2月19日晚，赖某玲向袁志敏等人介绍将于2016年2月20日（周六）在职工代表大会上宣讲的金发科技2016年度员工持股计划草案。</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20日上午，金发科技召开职工代表大会，赖某玲对金发科技2016年度员工持股计划草案进行了详细的介绍，并发放参与员工持股计划的认购意向函和风险提示函，通知参与员工持股计划的员工于2月22日下午17点前提交认购意向函和风险提示函，参会人员同意并签署了职工代表大会决议。</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2月22日，金发科技发出召开第五届董事会第十五次（临时）会议和第五届监事会第九次（临时）会议的通知，回收员工签署的参与持股计划的认购意向函和风险提示函。</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2月23日至25日，中介机构起草并完成员工持股计划定稿、非公开发行股票预案、前次募集资金使用情况</w:t>
      </w:r>
      <w:proofErr w:type="gramStart"/>
      <w:r w:rsidRPr="000227B0">
        <w:rPr>
          <w:rFonts w:ascii="宋体" w:eastAsia="宋体" w:hAnsi="宋体" w:cs="宋体" w:hint="eastAsia"/>
          <w:color w:val="000000"/>
          <w:kern w:val="0"/>
          <w:szCs w:val="21"/>
        </w:rPr>
        <w:t>鉴证</w:t>
      </w:r>
      <w:proofErr w:type="gramEnd"/>
      <w:r w:rsidRPr="000227B0">
        <w:rPr>
          <w:rFonts w:ascii="宋体" w:eastAsia="宋体" w:hAnsi="宋体" w:cs="宋体" w:hint="eastAsia"/>
          <w:color w:val="000000"/>
          <w:kern w:val="0"/>
          <w:szCs w:val="21"/>
        </w:rPr>
        <w:t>报告、本次</w:t>
      </w:r>
      <w:proofErr w:type="gramStart"/>
      <w:r w:rsidRPr="000227B0">
        <w:rPr>
          <w:rFonts w:ascii="宋体" w:eastAsia="宋体" w:hAnsi="宋体" w:cs="宋体" w:hint="eastAsia"/>
          <w:color w:val="000000"/>
          <w:kern w:val="0"/>
          <w:szCs w:val="21"/>
        </w:rPr>
        <w:t>募投项目</w:t>
      </w:r>
      <w:proofErr w:type="gramEnd"/>
      <w:r w:rsidRPr="000227B0">
        <w:rPr>
          <w:rFonts w:ascii="宋体" w:eastAsia="宋体" w:hAnsi="宋体" w:cs="宋体" w:hint="eastAsia"/>
          <w:color w:val="000000"/>
          <w:kern w:val="0"/>
          <w:szCs w:val="21"/>
        </w:rPr>
        <w:t>可行性研究报告等资料，安排签署《资产管理计划合同》和《附生效条件的股份认购协议》。</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月26日，金发科技召开第五届董事会第十五次（临时）会议，审议并通过了《关于金发科技股份有限公司非公开发行股票方案的议案》、《金发科技股份有限公司2016年度员工持股计划（草案）（非公开发行方式认购）》及其摘要等13项议案。</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3月1日，金发科技公告《2016年度非公开发行A股股票预案》，非公开发行对象为袁志敏和广发证券资产管理（广东）有限公司（该公司以其拟设立并管理的广</w:t>
      </w:r>
      <w:proofErr w:type="gramStart"/>
      <w:r w:rsidRPr="000227B0">
        <w:rPr>
          <w:rFonts w:ascii="宋体" w:eastAsia="宋体" w:hAnsi="宋体" w:cs="宋体" w:hint="eastAsia"/>
          <w:color w:val="000000"/>
          <w:kern w:val="0"/>
          <w:szCs w:val="21"/>
        </w:rPr>
        <w:t>发原驰</w:t>
      </w:r>
      <w:proofErr w:type="gramEnd"/>
      <w:r w:rsidRPr="000227B0">
        <w:rPr>
          <w:rFonts w:ascii="宋体" w:eastAsia="宋体" w:hAnsi="宋体" w:cs="宋体" w:hint="eastAsia"/>
          <w:color w:val="000000"/>
          <w:kern w:val="0"/>
          <w:szCs w:val="21"/>
        </w:rPr>
        <w:t>·金发科技1号定向资产管理计划参与认购，该资产管理计划拟由金发科技2016年度员工持股计划全额认购）。同日，“金发科技”复牌。</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金发科技于3月1日公告《2016年度非公开发行A股股票预案》显示，</w:t>
      </w:r>
      <w:proofErr w:type="gramStart"/>
      <w:r w:rsidRPr="000227B0">
        <w:rPr>
          <w:rFonts w:ascii="宋体" w:eastAsia="宋体" w:hAnsi="宋体" w:cs="宋体" w:hint="eastAsia"/>
          <w:color w:val="000000"/>
          <w:kern w:val="0"/>
          <w:szCs w:val="21"/>
        </w:rPr>
        <w:t>本次拟非公开</w:t>
      </w:r>
      <w:proofErr w:type="gramEnd"/>
      <w:r w:rsidRPr="000227B0">
        <w:rPr>
          <w:rFonts w:ascii="宋体" w:eastAsia="宋体" w:hAnsi="宋体" w:cs="宋体" w:hint="eastAsia"/>
          <w:color w:val="000000"/>
          <w:kern w:val="0"/>
          <w:szCs w:val="21"/>
        </w:rPr>
        <w:t>发行股票数量不超过153,928,961股（含153,928,961股）,占发行前公司总股本（2,560,000,000股）约6.01%，若非公开发行成功，公司股权结构将发生重大变化（2016年12月21日，金发科技实际非公开发行股票156,784,786股，占发行前公司总股本6.12%）。因此，金发科技本次非公开发行股票事项具有重大性。</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金发科技本次非公开发行股份及员工持股计划等事项决议在2016年3月1日之前并没有在证监会指定的报刊、网站等媒体披露。因此，金发科技筹划实施2016年员工持股计划及非公开发行股票的过程具有未公开性。</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综上，金发科技筹划实施2016年员工持股计划及非公开发行股票属于《证券法》第七十五条第三款所列“公司股权结构的重大变化”的内幕信息。内幕信息形成时间不晚于2016年2月3日，于2016年3月1日公开（以下简称内幕信息敏感期）。袁志敏在内幕信息形成过程中起决定性作用，属于内幕信息知情人，其知情时间不晚于2016年2月3日。</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二、袁志敏与王宗明共同内幕交易“金发科技”的情况</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（一）袁志敏、王宗明关系密切且在内幕信息敏感期内存在通讯联系</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lastRenderedPageBreak/>
        <w:t>王宗明承认其和袁志敏关系比较好。王宗明的姐姐王某慧与袁志敏有密切关系，二人同在广州市工商联，王宗明在王某慧实际控制的广州睿森生物科技有限公司任职。在内幕信息敏感期内袁志敏与王宗明有多次</w:t>
      </w:r>
      <w:proofErr w:type="gramStart"/>
      <w:r w:rsidRPr="000227B0">
        <w:rPr>
          <w:rFonts w:ascii="宋体" w:eastAsia="宋体" w:hAnsi="宋体" w:cs="宋体" w:hint="eastAsia"/>
          <w:color w:val="000000"/>
          <w:kern w:val="0"/>
          <w:szCs w:val="21"/>
        </w:rPr>
        <w:t>通讯联络</w:t>
      </w:r>
      <w:proofErr w:type="gramEnd"/>
      <w:r w:rsidRPr="000227B0">
        <w:rPr>
          <w:rFonts w:ascii="宋体" w:eastAsia="宋体" w:hAnsi="宋体" w:cs="宋体" w:hint="eastAsia"/>
          <w:color w:val="000000"/>
          <w:kern w:val="0"/>
          <w:szCs w:val="21"/>
        </w:rPr>
        <w:t>。</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（二）袁志敏提供资金，王宗明操作“王宗明”“李某玲”证券账户交易“金发科技”</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1. “王宗明”“李某玲”证券账户交易“金发科技”的资金来源于袁志敏。</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2015年12月21日，袁志敏向上海本尧建筑劳务有限公司的实际控制人</w:t>
      </w:r>
      <w:proofErr w:type="gramStart"/>
      <w:r w:rsidRPr="000227B0">
        <w:rPr>
          <w:rFonts w:ascii="宋体" w:eastAsia="宋体" w:hAnsi="宋体" w:cs="宋体" w:hint="eastAsia"/>
          <w:color w:val="000000"/>
          <w:kern w:val="0"/>
          <w:szCs w:val="21"/>
        </w:rPr>
        <w:t>朱某明借款</w:t>
      </w:r>
      <w:proofErr w:type="gramEnd"/>
      <w:r w:rsidRPr="000227B0">
        <w:rPr>
          <w:rFonts w:ascii="宋体" w:eastAsia="宋体" w:hAnsi="宋体" w:cs="宋体" w:hint="eastAsia"/>
          <w:color w:val="000000"/>
          <w:kern w:val="0"/>
          <w:szCs w:val="21"/>
        </w:rPr>
        <w:t>，2016年1月28日，袁志敏给</w:t>
      </w:r>
      <w:proofErr w:type="gramStart"/>
      <w:r w:rsidRPr="000227B0">
        <w:rPr>
          <w:rFonts w:ascii="宋体" w:eastAsia="宋体" w:hAnsi="宋体" w:cs="宋体" w:hint="eastAsia"/>
          <w:color w:val="000000"/>
          <w:kern w:val="0"/>
          <w:szCs w:val="21"/>
        </w:rPr>
        <w:t>朱某明发送</w:t>
      </w:r>
      <w:proofErr w:type="gramEnd"/>
      <w:r w:rsidRPr="000227B0">
        <w:rPr>
          <w:rFonts w:ascii="宋体" w:eastAsia="宋体" w:hAnsi="宋体" w:cs="宋体" w:hint="eastAsia"/>
          <w:color w:val="000000"/>
          <w:kern w:val="0"/>
          <w:szCs w:val="21"/>
        </w:rPr>
        <w:t>短信，提供“王宗明”“李某玲”“王某慧”“汤某”的银行账号，1月29日至2月2日，上海本尧建筑劳务有限公司将3,200万元直接或者通过“汤某”“王某慧”“李某玲”等账户汇入王宗明银行账户。</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2016年2月2日，袁志敏致电王宗明，当日，王宗明和李某玲同时以本人名义开立了证券账户和三方存管银行账户。2月3日，王宗明将前述银行账户部分资金转入证券账户，并向袁志敏发送短信：“老板你好、昨天转给工商联450万、股票账号上各1,350万和1,400万，共计3,200万”，袁志敏短信回复王宗明：“好”。 </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综上，内幕信息敏感期内“王宗明”“李某玲”证券账户买入“金发科技”的资金全部来自于袁志敏。</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 王宗明操作“王宗明”“李某玲”证券账户交易“金发科技”。</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“王宗明”证券账户于2016年2月2日在广发证券广州天河路证券营业部开立。2016年2月3日至15日买入“金发科技”1,663,600股，占该期间其账户股票资产的100%，成交金额9,826,638.00元，占其账户资金的70.19%。</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“李某玲”证券账户于2016年2月2日在广发证券广州天河路证券营业部开立。2016年2月3日至15日买入“金发科技”957,300股，占该期间其账户股票资产的100%，成交金额5,645,050.20元，占其账户资金的50.50%。</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内幕信息敏感期内“王宗明”“李某玲”两个账户买入“金发科技”的IP地址、MAC地址、硬盘序列号均一致，王宗明承认上述两账户一直由其操作。综上，在内幕信息敏感期内，王宗明操作上述两个账户买入“金发科技”2,620,900股，占该期间两个账户股票资产的100%，成交金额15,471,688.2元，以“金发科技”复牌日（2016年3月1日）收盘价（6.04元）计算，上述两账户账面盈利327,294.99元。</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（三）“王宗明”“李某玲”两账户买卖“金发科技”交易明显异常，与内幕信息高度吻合</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2016年1月29日至2月2日，袁志敏向</w:t>
      </w:r>
      <w:proofErr w:type="gramStart"/>
      <w:r w:rsidRPr="000227B0">
        <w:rPr>
          <w:rFonts w:ascii="宋体" w:eastAsia="宋体" w:hAnsi="宋体" w:cs="宋体" w:hint="eastAsia"/>
          <w:color w:val="000000"/>
          <w:kern w:val="0"/>
          <w:szCs w:val="21"/>
        </w:rPr>
        <w:t>朱某明借款</w:t>
      </w:r>
      <w:proofErr w:type="gramEnd"/>
      <w:r w:rsidRPr="000227B0">
        <w:rPr>
          <w:rFonts w:ascii="宋体" w:eastAsia="宋体" w:hAnsi="宋体" w:cs="宋体" w:hint="eastAsia"/>
          <w:color w:val="000000"/>
          <w:kern w:val="0"/>
          <w:szCs w:val="21"/>
        </w:rPr>
        <w:t>转入指定银行账户，2月2日袁志敏致电王宗明，“王宗明”“李某玲”证券账户开立，并转入资金。2月3日左右，袁志敏让宁某军准备员工持股计划的介绍材料。涉案账户集中于2016年2月3、4、5、15日买入“金发科技”，占该期间其账户股票资产的100%。</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综上，涉案账户存在突击开户、突击转入大额资金、集中单项买入“金发科技”等明显异常行为，其交易“金发科技”情况与内幕信息高度吻合。</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上述违法事实，有金发科技相关会议材料及公告、说明、相关证券账户资料、证券交易记录、相关银行账户资料、银行转账记录、相关人员通讯记录、询问笔录以及交易所计算数据等证据证明，足以认定。</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lastRenderedPageBreak/>
        <w:t>在内幕信息公开之前，作为法定内幕信息知情人的袁志敏提供资金，王宗明操作涉案账户，二人共同交易“金发科技”的行为明显异常，与内幕信息高度吻合，且二人不能合理解释账户交易的异常性。袁志敏、王宗明在内幕信息敏感期内共同交易“金发科技”的行为，违反了《证券法》第七十三条、第七十六条第一款的规定，构成《证券法》第二百零二条所述的内幕交易行为。</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在听证过程中，袁志敏的代理人提出如下申辩意见：第一，事先告知书认定事实不清，没有证据证明内幕信息形成于2016年2月3日；第二，袁志敏向王宗明的转账并非提供用于交易股票的资金，而是清偿债务；第三，袁志敏没有与王宗明共同内幕交易的故意，既不控制涉案账户，也</w:t>
      </w:r>
      <w:proofErr w:type="gramStart"/>
      <w:r w:rsidRPr="000227B0">
        <w:rPr>
          <w:rFonts w:ascii="宋体" w:eastAsia="宋体" w:hAnsi="宋体" w:cs="宋体" w:hint="eastAsia"/>
          <w:color w:val="000000"/>
          <w:kern w:val="0"/>
          <w:szCs w:val="21"/>
        </w:rPr>
        <w:t>不</w:t>
      </w:r>
      <w:proofErr w:type="gramEnd"/>
      <w:r w:rsidRPr="000227B0">
        <w:rPr>
          <w:rFonts w:ascii="宋体" w:eastAsia="宋体" w:hAnsi="宋体" w:cs="宋体" w:hint="eastAsia"/>
          <w:color w:val="000000"/>
          <w:kern w:val="0"/>
          <w:szCs w:val="21"/>
        </w:rPr>
        <w:t>知悉王宗明的交易且没有因其交易获利，不构成内幕交易；第四，违法所得计算错误，内幕信息形成日的确定不准确影响违法所得计算，且应该以实际违法所得或者听证会后确定日期计算账面所得。</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王宗明提交如下陈述意见：第一，袁志敏向王宗明转账并不是安排内幕交易资金，而是偿还债务；第二，发给袁志敏的有关资金划转情况短信内容系复制粘贴了发给老婆的信息，加上“老板你好”后发给袁志敏；第三，买入“金发科技”是自己决定的，交易与内幕信息时间重合的异常是与还款资金到账时间的巧合；第四，“金发科技”交易结果是亏损，没有违法所得。</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综上，袁志敏、王宗明均请求免于处罚。</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我会认为，第一，关于内幕信息起始日，袁志敏是内幕信息决策人，结合董事会秘书指认2月3日左右接到袁志敏的安排，2月4日早上中介机构人员将员工持股计划方案发回董事会秘书的客观事实，认定内幕信息形成不晚于2月3日并无不当；第二，关于袁志敏与王宗明之间的资金往来，当事人所谓的偿还债务并无证据支持，而在案证据显示袁志敏提供账户给</w:t>
      </w:r>
      <w:proofErr w:type="gramStart"/>
      <w:r w:rsidRPr="000227B0">
        <w:rPr>
          <w:rFonts w:ascii="宋体" w:eastAsia="宋体" w:hAnsi="宋体" w:cs="宋体" w:hint="eastAsia"/>
          <w:color w:val="000000"/>
          <w:kern w:val="0"/>
          <w:szCs w:val="21"/>
        </w:rPr>
        <w:t>朱某明供</w:t>
      </w:r>
      <w:proofErr w:type="gramEnd"/>
      <w:r w:rsidRPr="000227B0">
        <w:rPr>
          <w:rFonts w:ascii="宋体" w:eastAsia="宋体" w:hAnsi="宋体" w:cs="宋体" w:hint="eastAsia"/>
          <w:color w:val="000000"/>
          <w:kern w:val="0"/>
          <w:szCs w:val="21"/>
        </w:rPr>
        <w:t>其转入资金，王宗明在将账户资金转入证券账户后向袁志敏汇报并得到回复，可以证明资金是袁志敏决策安排的，王宗明申辩的短信内容系复制转发、袁志敏笔录中不知王宗明为何向其发送短信汇报资金去向与其回复确认信息相矛盾，不符合常理，同时，在短信中还有一部分资金划入广州工商联的内容，单凭王宗明申辩所述系袁志敏还钱当天又向其借450万不能证明，也不合常理；第三，当事人提出的没有共同内幕交易故意及异常交易等系“巧合”的申辩，无法解释其异常交易情况，而结合二人之间的密切关系、在内幕信息敏感期内的多次通讯联系、2月2日袁志敏致电王宗明与当日相关账户开立并转入资金的异常性、涉案账户交易“金发科技”的异常性及与内幕信息高度吻合，足以证明本案实为袁志敏提供资金、王宗明具体操作，二人共同实施了内幕交易行为；第四，本案违法所得计算符合我会一贯计算方法，截至我会计算截止日，涉案账户股票尚未卖出，依照公开日计算收益并无不当。综上，我会对袁志敏、王宗明的申辩意见不予采纳。</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根据当事人违法行为的事实、性质、情节与社会危害程度，依据《证券法》第二百零二条的规定，我会决定：责令王宗明依法处理“王宗明”“李某玲”账户下非法持有的“金发科技”，没收袁志敏、王宗明违法所得327,294.99元，并对袁志敏处以589,130.98元罚款，对王宗明处以392,753.99元罚款。</w:t>
      </w:r>
    </w:p>
    <w:p w:rsidR="000227B0" w:rsidRPr="000227B0" w:rsidRDefault="000227B0" w:rsidP="000227B0">
      <w:pPr>
        <w:widowControl/>
        <w:shd w:val="clear" w:color="auto" w:fill="FFFFFF"/>
        <w:spacing w:line="360" w:lineRule="atLeast"/>
        <w:ind w:firstLine="420"/>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0227B0">
        <w:rPr>
          <w:rFonts w:ascii="宋体" w:eastAsia="宋体" w:hAnsi="宋体" w:cs="宋体" w:hint="eastAsia"/>
          <w:color w:val="000000"/>
          <w:kern w:val="0"/>
          <w:szCs w:val="21"/>
        </w:rPr>
        <w:t>汇缴专户</w:t>
      </w:r>
      <w:proofErr w:type="gramEnd"/>
      <w:r w:rsidRPr="000227B0">
        <w:rPr>
          <w:rFonts w:ascii="宋体" w:eastAsia="宋体" w:hAnsi="宋体" w:cs="宋体" w:hint="eastAsia"/>
          <w:color w:val="000000"/>
          <w:kern w:val="0"/>
          <w:szCs w:val="21"/>
        </w:rPr>
        <w:t>）开户银行：中信银行北京分行营业部，账号：7111010189800000162，</w:t>
      </w:r>
      <w:r w:rsidRPr="000227B0">
        <w:rPr>
          <w:rFonts w:ascii="宋体" w:eastAsia="宋体" w:hAnsi="宋体" w:cs="宋体" w:hint="eastAsia"/>
          <w:color w:val="000000"/>
          <w:kern w:val="0"/>
          <w:szCs w:val="21"/>
        </w:rPr>
        <w:lastRenderedPageBreak/>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227B0" w:rsidRPr="000227B0" w:rsidRDefault="000227B0" w:rsidP="000227B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中国证监会</w:t>
      </w:r>
      <w:proofErr w:type="gramStart"/>
      <w:r w:rsidRPr="000227B0">
        <w:rPr>
          <w:rFonts w:ascii="宋体" w:eastAsia="宋体" w:hAnsi="宋体" w:cs="宋体" w:hint="eastAsia"/>
          <w:color w:val="000000"/>
          <w:kern w:val="0"/>
          <w:szCs w:val="21"/>
        </w:rPr>
        <w:t xml:space="preserve">　　　　　</w:t>
      </w:r>
      <w:proofErr w:type="gramEnd"/>
      <w:r w:rsidRPr="000227B0">
        <w:rPr>
          <w:rFonts w:ascii="宋体" w:eastAsia="宋体" w:hAnsi="宋体" w:cs="宋体" w:hint="eastAsia"/>
          <w:color w:val="000000"/>
          <w:kern w:val="0"/>
          <w:szCs w:val="21"/>
        </w:rPr>
        <w:t> </w:t>
      </w:r>
    </w:p>
    <w:p w:rsidR="000227B0" w:rsidRPr="000227B0" w:rsidRDefault="000227B0" w:rsidP="000227B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227B0">
        <w:rPr>
          <w:rFonts w:ascii="宋体" w:eastAsia="宋体" w:hAnsi="宋体" w:cs="宋体" w:hint="eastAsia"/>
          <w:color w:val="000000"/>
          <w:kern w:val="0"/>
          <w:szCs w:val="21"/>
        </w:rPr>
        <w:t xml:space="preserve">2019年6月19日　　</w:t>
      </w:r>
      <w:proofErr w:type="gramStart"/>
      <w:r w:rsidRPr="000227B0">
        <w:rPr>
          <w:rFonts w:ascii="宋体" w:eastAsia="宋体" w:hAnsi="宋体" w:cs="宋体" w:hint="eastAsia"/>
          <w:color w:val="000000"/>
          <w:kern w:val="0"/>
          <w:szCs w:val="21"/>
        </w:rPr>
        <w:t xml:space="preserve">　　</w:t>
      </w:r>
      <w:proofErr w:type="gramEnd"/>
    </w:p>
    <w:p w:rsidR="000227B0" w:rsidRPr="000227B0" w:rsidRDefault="000227B0" w:rsidP="000227B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227B0" w:rsidRPr="000227B0" w:rsidTr="000227B0">
        <w:trPr>
          <w:tblCellSpacing w:w="15" w:type="dxa"/>
          <w:jc w:val="center"/>
        </w:trPr>
        <w:tc>
          <w:tcPr>
            <w:tcW w:w="900" w:type="dxa"/>
            <w:vAlign w:val="center"/>
            <w:hideMark/>
          </w:tcPr>
          <w:p w:rsidR="000227B0" w:rsidRPr="000227B0" w:rsidRDefault="000227B0" w:rsidP="000227B0">
            <w:pPr>
              <w:widowControl/>
              <w:jc w:val="left"/>
              <w:rPr>
                <w:rFonts w:ascii="宋体" w:eastAsia="宋体" w:hAnsi="宋体" w:cs="宋体" w:hint="eastAsia"/>
                <w:kern w:val="0"/>
                <w:sz w:val="18"/>
                <w:szCs w:val="18"/>
              </w:rPr>
            </w:pPr>
            <w:r w:rsidRPr="000227B0">
              <w:rPr>
                <w:rFonts w:ascii="宋体" w:eastAsia="宋体" w:hAnsi="宋体" w:cs="宋体"/>
                <w:kern w:val="0"/>
                <w:sz w:val="18"/>
                <w:szCs w:val="18"/>
              </w:rPr>
              <w:t> </w:t>
            </w:r>
          </w:p>
        </w:tc>
        <w:tc>
          <w:tcPr>
            <w:tcW w:w="1200" w:type="dxa"/>
            <w:vAlign w:val="center"/>
            <w:hideMark/>
          </w:tcPr>
          <w:p w:rsidR="000227B0" w:rsidRPr="000227B0" w:rsidRDefault="000227B0" w:rsidP="000227B0">
            <w:pPr>
              <w:widowControl/>
              <w:jc w:val="left"/>
              <w:rPr>
                <w:rFonts w:ascii="宋体" w:eastAsia="宋体" w:hAnsi="宋体" w:cs="宋体"/>
                <w:kern w:val="0"/>
                <w:sz w:val="18"/>
                <w:szCs w:val="18"/>
              </w:rPr>
            </w:pPr>
            <w:r w:rsidRPr="000227B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227B0" w:rsidRPr="000227B0" w:rsidRDefault="000227B0" w:rsidP="000227B0">
            <w:pPr>
              <w:widowControl/>
              <w:jc w:val="left"/>
              <w:rPr>
                <w:rFonts w:ascii="宋体" w:eastAsia="宋体" w:hAnsi="宋体" w:cs="宋体"/>
                <w:kern w:val="0"/>
                <w:sz w:val="18"/>
                <w:szCs w:val="18"/>
              </w:rPr>
            </w:pPr>
            <w:r w:rsidRPr="000227B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227B0" w:rsidRPr="000227B0" w:rsidRDefault="000227B0" w:rsidP="000227B0">
            <w:pPr>
              <w:widowControl/>
              <w:jc w:val="left"/>
              <w:rPr>
                <w:rFonts w:ascii="宋体" w:eastAsia="宋体" w:hAnsi="宋体" w:cs="宋体"/>
                <w:kern w:val="0"/>
                <w:sz w:val="18"/>
                <w:szCs w:val="18"/>
              </w:rPr>
            </w:pPr>
            <w:r w:rsidRPr="000227B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227B0" w:rsidRPr="000227B0" w:rsidRDefault="000227B0" w:rsidP="000227B0">
      <w:pPr>
        <w:widowControl/>
        <w:jc w:val="center"/>
        <w:rPr>
          <w:rFonts w:ascii="微软雅黑" w:eastAsia="微软雅黑" w:hAnsi="微软雅黑" w:cs="宋体"/>
          <w:color w:val="515151"/>
          <w:kern w:val="0"/>
          <w:sz w:val="18"/>
          <w:szCs w:val="18"/>
        </w:rPr>
      </w:pPr>
      <w:hyperlink r:id="rId11" w:tgtFrame="_blank" w:history="1">
        <w:r w:rsidRPr="000227B0">
          <w:rPr>
            <w:rFonts w:ascii="微软雅黑" w:eastAsia="微软雅黑" w:hAnsi="微软雅黑" w:cs="宋体" w:hint="eastAsia"/>
            <w:color w:val="0000FF"/>
            <w:kern w:val="0"/>
            <w:sz w:val="18"/>
            <w:szCs w:val="18"/>
            <w:u w:val="single"/>
          </w:rPr>
          <w:t>关于我们</w:t>
        </w:r>
      </w:hyperlink>
      <w:r w:rsidRPr="000227B0">
        <w:rPr>
          <w:rFonts w:ascii="微软雅黑" w:eastAsia="微软雅黑" w:hAnsi="微软雅黑" w:cs="宋体" w:hint="eastAsia"/>
          <w:color w:val="515151"/>
          <w:kern w:val="0"/>
          <w:sz w:val="18"/>
          <w:szCs w:val="18"/>
        </w:rPr>
        <w:t> - </w:t>
      </w:r>
      <w:hyperlink r:id="rId12" w:tgtFrame="_blank" w:history="1">
        <w:r w:rsidRPr="000227B0">
          <w:rPr>
            <w:rFonts w:ascii="微软雅黑" w:eastAsia="微软雅黑" w:hAnsi="微软雅黑" w:cs="宋体" w:hint="eastAsia"/>
            <w:color w:val="0000FF"/>
            <w:kern w:val="0"/>
            <w:sz w:val="18"/>
            <w:szCs w:val="18"/>
            <w:u w:val="single"/>
          </w:rPr>
          <w:t>法律声明</w:t>
        </w:r>
      </w:hyperlink>
      <w:r w:rsidRPr="000227B0">
        <w:rPr>
          <w:rFonts w:ascii="微软雅黑" w:eastAsia="微软雅黑" w:hAnsi="微软雅黑" w:cs="宋体" w:hint="eastAsia"/>
          <w:color w:val="515151"/>
          <w:kern w:val="0"/>
          <w:sz w:val="18"/>
          <w:szCs w:val="18"/>
        </w:rPr>
        <w:t> - </w:t>
      </w:r>
      <w:hyperlink r:id="rId13" w:tgtFrame="_blank" w:history="1">
        <w:r w:rsidRPr="000227B0">
          <w:rPr>
            <w:rFonts w:ascii="微软雅黑" w:eastAsia="微软雅黑" w:hAnsi="微软雅黑" w:cs="宋体" w:hint="eastAsia"/>
            <w:color w:val="0000FF"/>
            <w:kern w:val="0"/>
            <w:sz w:val="18"/>
            <w:szCs w:val="18"/>
            <w:u w:val="single"/>
          </w:rPr>
          <w:t>联系我们</w:t>
        </w:r>
      </w:hyperlink>
    </w:p>
    <w:p w:rsidR="000227B0" w:rsidRPr="000227B0" w:rsidRDefault="000227B0" w:rsidP="000227B0">
      <w:pPr>
        <w:widowControl/>
        <w:jc w:val="center"/>
        <w:rPr>
          <w:rFonts w:ascii="微软雅黑" w:eastAsia="微软雅黑" w:hAnsi="微软雅黑" w:cs="宋体" w:hint="eastAsia"/>
          <w:color w:val="515151"/>
          <w:kern w:val="0"/>
          <w:sz w:val="18"/>
          <w:szCs w:val="18"/>
        </w:rPr>
      </w:pPr>
      <w:r w:rsidRPr="000227B0">
        <w:rPr>
          <w:rFonts w:ascii="微软雅黑" w:eastAsia="微软雅黑" w:hAnsi="微软雅黑" w:cs="宋体" w:hint="eastAsia"/>
          <w:color w:val="515151"/>
          <w:kern w:val="0"/>
          <w:sz w:val="18"/>
          <w:szCs w:val="18"/>
        </w:rPr>
        <w:t>版权所有：中国证券监督管理委员会 京ICP备 05035542号</w:t>
      </w:r>
    </w:p>
    <w:p w:rsidR="000227B0" w:rsidRPr="000227B0" w:rsidRDefault="000227B0" w:rsidP="000227B0">
      <w:pPr>
        <w:widowControl/>
        <w:jc w:val="center"/>
        <w:rPr>
          <w:rFonts w:ascii="微软雅黑" w:eastAsia="微软雅黑" w:hAnsi="微软雅黑" w:cs="宋体" w:hint="eastAsia"/>
          <w:color w:val="515151"/>
          <w:kern w:val="0"/>
          <w:sz w:val="18"/>
          <w:szCs w:val="18"/>
        </w:rPr>
      </w:pPr>
      <w:r w:rsidRPr="000227B0">
        <w:rPr>
          <w:rFonts w:ascii="微软雅黑" w:eastAsia="微软雅黑" w:hAnsi="微软雅黑" w:cs="宋体" w:hint="eastAsia"/>
          <w:color w:val="515151"/>
          <w:kern w:val="0"/>
          <w:sz w:val="18"/>
          <w:szCs w:val="18"/>
        </w:rPr>
        <w:t>地址：北京市西城区金融大街19号富凯大厦A座 邮编：100033</w:t>
      </w:r>
    </w:p>
    <w:p w:rsidR="000227B0" w:rsidRPr="000227B0" w:rsidRDefault="000227B0" w:rsidP="000227B0">
      <w:pPr>
        <w:widowControl/>
        <w:jc w:val="center"/>
        <w:rPr>
          <w:rFonts w:ascii="微软雅黑" w:eastAsia="微软雅黑" w:hAnsi="微软雅黑" w:cs="宋体" w:hint="eastAsia"/>
          <w:color w:val="515151"/>
          <w:kern w:val="0"/>
          <w:sz w:val="18"/>
          <w:szCs w:val="18"/>
        </w:rPr>
      </w:pPr>
      <w:r w:rsidRPr="000227B0">
        <w:rPr>
          <w:rFonts w:ascii="微软雅黑" w:eastAsia="微软雅黑" w:hAnsi="微软雅黑" w:cs="宋体" w:hint="eastAsia"/>
          <w:color w:val="515151"/>
          <w:kern w:val="0"/>
          <w:sz w:val="18"/>
          <w:szCs w:val="18"/>
        </w:rPr>
        <w:t>建议使用IE5.5以上浏览器，分辨率1024*768</w:t>
      </w:r>
    </w:p>
    <w:p w:rsidR="00F84852" w:rsidRPr="000227B0" w:rsidRDefault="00F84852"/>
    <w:sectPr w:rsidR="00F84852" w:rsidRPr="00022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B0"/>
    <w:rsid w:val="000227B0"/>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FB5F6-F775-41E9-A58B-5319433E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27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27B0"/>
    <w:rPr>
      <w:b/>
      <w:bCs/>
    </w:rPr>
  </w:style>
  <w:style w:type="paragraph" w:customStyle="1" w:styleId="p0">
    <w:name w:val="p0"/>
    <w:basedOn w:val="a"/>
    <w:rsid w:val="000227B0"/>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0227B0"/>
  </w:style>
  <w:style w:type="character" w:styleId="a5">
    <w:name w:val="Hyperlink"/>
    <w:basedOn w:val="a0"/>
    <w:uiPriority w:val="99"/>
    <w:semiHidden/>
    <w:unhideWhenUsed/>
    <w:rsid w:val="00022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044586">
      <w:bodyDiv w:val="1"/>
      <w:marLeft w:val="0"/>
      <w:marRight w:val="0"/>
      <w:marTop w:val="0"/>
      <w:marBottom w:val="0"/>
      <w:divBdr>
        <w:top w:val="none" w:sz="0" w:space="0" w:color="auto"/>
        <w:left w:val="none" w:sz="0" w:space="0" w:color="auto"/>
        <w:bottom w:val="none" w:sz="0" w:space="0" w:color="auto"/>
        <w:right w:val="none" w:sz="0" w:space="0" w:color="auto"/>
      </w:divBdr>
      <w:divsChild>
        <w:div w:id="1434664093">
          <w:marLeft w:val="0"/>
          <w:marRight w:val="0"/>
          <w:marTop w:val="150"/>
          <w:marBottom w:val="150"/>
          <w:divBdr>
            <w:top w:val="none" w:sz="0" w:space="0" w:color="auto"/>
            <w:left w:val="none" w:sz="0" w:space="0" w:color="auto"/>
            <w:bottom w:val="none" w:sz="0" w:space="0" w:color="auto"/>
            <w:right w:val="none" w:sz="0" w:space="0" w:color="auto"/>
          </w:divBdr>
        </w:div>
        <w:div w:id="1675842349">
          <w:marLeft w:val="0"/>
          <w:marRight w:val="0"/>
          <w:marTop w:val="0"/>
          <w:marBottom w:val="0"/>
          <w:divBdr>
            <w:top w:val="single" w:sz="6" w:space="8" w:color="B5B5B5"/>
            <w:left w:val="single" w:sz="6" w:space="0" w:color="B5B5B5"/>
            <w:bottom w:val="single" w:sz="6" w:space="8" w:color="B5B5B5"/>
            <w:right w:val="single" w:sz="6" w:space="0" w:color="B5B5B5"/>
          </w:divBdr>
          <w:divsChild>
            <w:div w:id="1655181441">
              <w:marLeft w:val="0"/>
              <w:marRight w:val="0"/>
              <w:marTop w:val="0"/>
              <w:marBottom w:val="0"/>
              <w:divBdr>
                <w:top w:val="none" w:sz="0" w:space="0" w:color="auto"/>
                <w:left w:val="none" w:sz="0" w:space="0" w:color="auto"/>
                <w:bottom w:val="none" w:sz="0" w:space="0" w:color="auto"/>
                <w:right w:val="none" w:sz="0" w:space="0" w:color="auto"/>
              </w:divBdr>
            </w:div>
            <w:div w:id="1209144021">
              <w:marLeft w:val="0"/>
              <w:marRight w:val="0"/>
              <w:marTop w:val="0"/>
              <w:marBottom w:val="0"/>
              <w:divBdr>
                <w:top w:val="none" w:sz="0" w:space="0" w:color="auto"/>
                <w:left w:val="none" w:sz="0" w:space="0" w:color="auto"/>
                <w:bottom w:val="none" w:sz="0" w:space="0" w:color="auto"/>
                <w:right w:val="none" w:sz="0" w:space="0" w:color="auto"/>
              </w:divBdr>
              <w:divsChild>
                <w:div w:id="1015350975">
                  <w:marLeft w:val="0"/>
                  <w:marRight w:val="0"/>
                  <w:marTop w:val="0"/>
                  <w:marBottom w:val="0"/>
                  <w:divBdr>
                    <w:top w:val="none" w:sz="0" w:space="0" w:color="auto"/>
                    <w:left w:val="none" w:sz="0" w:space="0" w:color="auto"/>
                    <w:bottom w:val="none" w:sz="0" w:space="0" w:color="auto"/>
                    <w:right w:val="none" w:sz="0" w:space="0" w:color="auto"/>
                  </w:divBdr>
                </w:div>
              </w:divsChild>
            </w:div>
            <w:div w:id="1236359073">
              <w:marLeft w:val="0"/>
              <w:marRight w:val="0"/>
              <w:marTop w:val="120"/>
              <w:marBottom w:val="120"/>
              <w:divBdr>
                <w:top w:val="none" w:sz="0" w:space="0" w:color="auto"/>
                <w:left w:val="none" w:sz="0" w:space="0" w:color="auto"/>
                <w:bottom w:val="none" w:sz="0" w:space="0" w:color="auto"/>
                <w:right w:val="none" w:sz="0" w:space="0" w:color="auto"/>
              </w:divBdr>
            </w:div>
          </w:divsChild>
        </w:div>
        <w:div w:id="651835349">
          <w:marLeft w:val="0"/>
          <w:marRight w:val="0"/>
          <w:marTop w:val="120"/>
          <w:marBottom w:val="0"/>
          <w:divBdr>
            <w:top w:val="none" w:sz="0" w:space="0" w:color="auto"/>
            <w:left w:val="none" w:sz="0" w:space="0" w:color="auto"/>
            <w:bottom w:val="none" w:sz="0" w:space="0" w:color="auto"/>
            <w:right w:val="none" w:sz="0" w:space="0" w:color="auto"/>
          </w:divBdr>
          <w:divsChild>
            <w:div w:id="2014262755">
              <w:marLeft w:val="0"/>
              <w:marRight w:val="0"/>
              <w:marTop w:val="60"/>
              <w:marBottom w:val="0"/>
              <w:divBdr>
                <w:top w:val="none" w:sz="0" w:space="0" w:color="auto"/>
                <w:left w:val="none" w:sz="0" w:space="0" w:color="auto"/>
                <w:bottom w:val="none" w:sz="0" w:space="0" w:color="auto"/>
                <w:right w:val="none" w:sz="0" w:space="0" w:color="auto"/>
              </w:divBdr>
            </w:div>
            <w:div w:id="1590963740">
              <w:marLeft w:val="0"/>
              <w:marRight w:val="0"/>
              <w:marTop w:val="60"/>
              <w:marBottom w:val="0"/>
              <w:divBdr>
                <w:top w:val="none" w:sz="0" w:space="0" w:color="auto"/>
                <w:left w:val="none" w:sz="0" w:space="0" w:color="auto"/>
                <w:bottom w:val="none" w:sz="0" w:space="0" w:color="auto"/>
                <w:right w:val="none" w:sz="0" w:space="0" w:color="auto"/>
              </w:divBdr>
            </w:div>
            <w:div w:id="1841963192">
              <w:marLeft w:val="0"/>
              <w:marRight w:val="0"/>
              <w:marTop w:val="60"/>
              <w:marBottom w:val="0"/>
              <w:divBdr>
                <w:top w:val="none" w:sz="0" w:space="0" w:color="auto"/>
                <w:left w:val="none" w:sz="0" w:space="0" w:color="auto"/>
                <w:bottom w:val="none" w:sz="0" w:space="0" w:color="auto"/>
                <w:right w:val="none" w:sz="0" w:space="0" w:color="auto"/>
              </w:divBdr>
            </w:div>
            <w:div w:id="13915405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24_3577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2020-02-14T11:35:00Z</dcterms:created>
  <dcterms:modified xsi:type="dcterms:W3CDTF">2020-02-14T11:35:00Z</dcterms:modified>
</cp:coreProperties>
</file>