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FDC" w:rsidRPr="00AB7FDC" w:rsidRDefault="00AB7FDC" w:rsidP="00AB7FDC">
      <w:pPr>
        <w:widowControl/>
        <w:jc w:val="center"/>
        <w:rPr>
          <w:rFonts w:ascii="微软雅黑" w:eastAsia="微软雅黑" w:hAnsi="微软雅黑" w:cs="宋体"/>
          <w:color w:val="000000"/>
          <w:kern w:val="0"/>
          <w:sz w:val="18"/>
          <w:szCs w:val="18"/>
        </w:rPr>
      </w:pPr>
      <w:r w:rsidRPr="00AB7FDC">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AB7FDC" w:rsidRPr="00AB7FDC" w:rsidTr="00AB7FD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B7FDC" w:rsidRPr="00AB7FDC">
              <w:trPr>
                <w:tblCellSpacing w:w="0" w:type="dxa"/>
              </w:trPr>
              <w:tc>
                <w:tcPr>
                  <w:tcW w:w="2500" w:type="pct"/>
                  <w:tcMar>
                    <w:top w:w="30" w:type="dxa"/>
                    <w:left w:w="30" w:type="dxa"/>
                    <w:bottom w:w="30" w:type="dxa"/>
                    <w:right w:w="30" w:type="dxa"/>
                  </w:tcMar>
                  <w:hideMark/>
                </w:tcPr>
                <w:p w:rsidR="00AB7FDC" w:rsidRPr="00AB7FDC" w:rsidRDefault="00AB7FDC" w:rsidP="00AB7FDC">
                  <w:pPr>
                    <w:widowControl/>
                    <w:jc w:val="left"/>
                    <w:rPr>
                      <w:rFonts w:ascii="宋体" w:eastAsia="宋体" w:hAnsi="宋体" w:cs="宋体" w:hint="eastAsia"/>
                      <w:color w:val="686868"/>
                      <w:kern w:val="0"/>
                      <w:sz w:val="18"/>
                      <w:szCs w:val="18"/>
                    </w:rPr>
                  </w:pPr>
                  <w:r w:rsidRPr="00AB7FDC">
                    <w:rPr>
                      <w:rFonts w:ascii="宋体" w:eastAsia="宋体" w:hAnsi="宋体" w:cs="宋体"/>
                      <w:b/>
                      <w:bCs/>
                      <w:color w:val="686868"/>
                      <w:kern w:val="0"/>
                      <w:sz w:val="18"/>
                      <w:szCs w:val="18"/>
                    </w:rPr>
                    <w:t>索 引 号:</w:t>
                  </w:r>
                  <w:r w:rsidRPr="00AB7FD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AB7FDC" w:rsidRPr="00AB7FDC" w:rsidRDefault="00AB7FDC" w:rsidP="00AB7FDC">
                  <w:pPr>
                    <w:widowControl/>
                    <w:jc w:val="left"/>
                    <w:rPr>
                      <w:rFonts w:ascii="宋体" w:eastAsia="宋体" w:hAnsi="宋体" w:cs="宋体"/>
                      <w:color w:val="686868"/>
                      <w:kern w:val="0"/>
                      <w:sz w:val="18"/>
                      <w:szCs w:val="18"/>
                    </w:rPr>
                  </w:pPr>
                  <w:r w:rsidRPr="00AB7FDC">
                    <w:rPr>
                      <w:rFonts w:ascii="宋体" w:eastAsia="宋体" w:hAnsi="宋体" w:cs="宋体"/>
                      <w:b/>
                      <w:bCs/>
                      <w:color w:val="686868"/>
                      <w:kern w:val="0"/>
                      <w:sz w:val="18"/>
                      <w:szCs w:val="18"/>
                    </w:rPr>
                    <w:t>分类:</w:t>
                  </w:r>
                  <w:r w:rsidRPr="00AB7FDC">
                    <w:rPr>
                      <w:rFonts w:ascii="宋体" w:eastAsia="宋体" w:hAnsi="宋体" w:cs="宋体"/>
                      <w:color w:val="686868"/>
                      <w:kern w:val="0"/>
                      <w:sz w:val="18"/>
                      <w:szCs w:val="18"/>
                    </w:rPr>
                    <w:t> 行政处罚 ; 行政处罚决定</w:t>
                  </w:r>
                </w:p>
              </w:tc>
            </w:tr>
          </w:tbl>
          <w:p w:rsidR="00AB7FDC" w:rsidRPr="00AB7FDC" w:rsidRDefault="00AB7FDC" w:rsidP="00AB7FDC">
            <w:pPr>
              <w:widowControl/>
              <w:jc w:val="left"/>
              <w:rPr>
                <w:rFonts w:ascii="宋体" w:eastAsia="宋体" w:hAnsi="宋体" w:cs="宋体"/>
                <w:color w:val="686868"/>
                <w:kern w:val="0"/>
                <w:sz w:val="18"/>
                <w:szCs w:val="18"/>
              </w:rPr>
            </w:pPr>
          </w:p>
        </w:tc>
      </w:tr>
      <w:tr w:rsidR="00AB7FDC" w:rsidRPr="00AB7FDC" w:rsidTr="00AB7FD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B7FDC" w:rsidRPr="00AB7FDC">
              <w:trPr>
                <w:tblCellSpacing w:w="0" w:type="dxa"/>
              </w:trPr>
              <w:tc>
                <w:tcPr>
                  <w:tcW w:w="2500" w:type="pct"/>
                  <w:tcMar>
                    <w:top w:w="30" w:type="dxa"/>
                    <w:left w:w="30" w:type="dxa"/>
                    <w:bottom w:w="30" w:type="dxa"/>
                    <w:right w:w="30" w:type="dxa"/>
                  </w:tcMar>
                  <w:hideMark/>
                </w:tcPr>
                <w:p w:rsidR="00AB7FDC" w:rsidRPr="00AB7FDC" w:rsidRDefault="00AB7FDC" w:rsidP="00AB7FDC">
                  <w:pPr>
                    <w:widowControl/>
                    <w:jc w:val="left"/>
                    <w:rPr>
                      <w:rFonts w:ascii="宋体" w:eastAsia="宋体" w:hAnsi="宋体" w:cs="宋体"/>
                      <w:color w:val="686868"/>
                      <w:kern w:val="0"/>
                      <w:sz w:val="18"/>
                      <w:szCs w:val="18"/>
                    </w:rPr>
                  </w:pPr>
                  <w:r w:rsidRPr="00AB7FDC">
                    <w:rPr>
                      <w:rFonts w:ascii="宋体" w:eastAsia="宋体" w:hAnsi="宋体" w:cs="宋体"/>
                      <w:b/>
                      <w:bCs/>
                      <w:color w:val="686868"/>
                      <w:kern w:val="0"/>
                      <w:sz w:val="18"/>
                      <w:szCs w:val="18"/>
                    </w:rPr>
                    <w:t>发布机构:</w:t>
                  </w:r>
                  <w:r w:rsidRPr="00AB7FD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AB7FDC" w:rsidRPr="00AB7FDC" w:rsidRDefault="00AB7FDC" w:rsidP="00AB7FDC">
                  <w:pPr>
                    <w:widowControl/>
                    <w:jc w:val="left"/>
                    <w:rPr>
                      <w:rFonts w:ascii="宋体" w:eastAsia="宋体" w:hAnsi="宋体" w:cs="宋体"/>
                      <w:color w:val="686868"/>
                      <w:kern w:val="0"/>
                      <w:sz w:val="18"/>
                      <w:szCs w:val="18"/>
                    </w:rPr>
                  </w:pPr>
                  <w:r w:rsidRPr="00AB7FDC">
                    <w:rPr>
                      <w:rFonts w:ascii="宋体" w:eastAsia="宋体" w:hAnsi="宋体" w:cs="宋体"/>
                      <w:b/>
                      <w:bCs/>
                      <w:color w:val="686868"/>
                      <w:kern w:val="0"/>
                      <w:sz w:val="18"/>
                      <w:szCs w:val="18"/>
                    </w:rPr>
                    <w:t>发文日期:</w:t>
                  </w:r>
                  <w:r w:rsidRPr="00AB7FDC">
                    <w:rPr>
                      <w:rFonts w:ascii="宋体" w:eastAsia="宋体" w:hAnsi="宋体" w:cs="宋体"/>
                      <w:color w:val="686868"/>
                      <w:kern w:val="0"/>
                      <w:sz w:val="18"/>
                      <w:szCs w:val="18"/>
                    </w:rPr>
                    <w:t> 2019年07月31日</w:t>
                  </w:r>
                </w:p>
              </w:tc>
            </w:tr>
          </w:tbl>
          <w:p w:rsidR="00AB7FDC" w:rsidRPr="00AB7FDC" w:rsidRDefault="00AB7FDC" w:rsidP="00AB7FDC">
            <w:pPr>
              <w:widowControl/>
              <w:jc w:val="left"/>
              <w:rPr>
                <w:rFonts w:ascii="宋体" w:eastAsia="宋体" w:hAnsi="宋体" w:cs="宋体"/>
                <w:color w:val="686868"/>
                <w:kern w:val="0"/>
                <w:sz w:val="18"/>
                <w:szCs w:val="18"/>
              </w:rPr>
            </w:pPr>
          </w:p>
        </w:tc>
      </w:tr>
      <w:tr w:rsidR="00AB7FDC" w:rsidRPr="00AB7FDC" w:rsidTr="00AB7FDC">
        <w:trPr>
          <w:tblCellSpacing w:w="0" w:type="dxa"/>
        </w:trPr>
        <w:tc>
          <w:tcPr>
            <w:tcW w:w="0" w:type="auto"/>
            <w:tcMar>
              <w:top w:w="30" w:type="dxa"/>
              <w:left w:w="30" w:type="dxa"/>
              <w:bottom w:w="30" w:type="dxa"/>
              <w:right w:w="30" w:type="dxa"/>
            </w:tcMar>
            <w:hideMark/>
          </w:tcPr>
          <w:p w:rsidR="00AB7FDC" w:rsidRPr="00AB7FDC" w:rsidRDefault="00AB7FDC" w:rsidP="00AB7FDC">
            <w:pPr>
              <w:widowControl/>
              <w:jc w:val="left"/>
              <w:rPr>
                <w:rFonts w:ascii="宋体" w:eastAsia="宋体" w:hAnsi="宋体" w:cs="宋体"/>
                <w:color w:val="686868"/>
                <w:kern w:val="0"/>
                <w:sz w:val="18"/>
                <w:szCs w:val="18"/>
              </w:rPr>
            </w:pPr>
            <w:r w:rsidRPr="00AB7FDC">
              <w:rPr>
                <w:rFonts w:ascii="宋体" w:eastAsia="宋体" w:hAnsi="宋体" w:cs="宋体"/>
                <w:b/>
                <w:bCs/>
                <w:color w:val="686868"/>
                <w:kern w:val="0"/>
                <w:sz w:val="18"/>
                <w:szCs w:val="18"/>
              </w:rPr>
              <w:t>名　　称:</w:t>
            </w:r>
            <w:r w:rsidRPr="00AB7FDC">
              <w:rPr>
                <w:rFonts w:ascii="宋体" w:eastAsia="宋体" w:hAnsi="宋体" w:cs="宋体"/>
                <w:color w:val="686868"/>
                <w:kern w:val="0"/>
                <w:sz w:val="18"/>
                <w:szCs w:val="18"/>
              </w:rPr>
              <w:t> 中国证监会行政处罚决定书（孙咸明）</w:t>
            </w:r>
          </w:p>
        </w:tc>
      </w:tr>
      <w:tr w:rsidR="00AB7FDC" w:rsidRPr="00AB7FDC" w:rsidTr="00AB7FD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B7FDC" w:rsidRPr="00AB7FDC">
              <w:trPr>
                <w:tblCellSpacing w:w="0" w:type="dxa"/>
              </w:trPr>
              <w:tc>
                <w:tcPr>
                  <w:tcW w:w="2500" w:type="pct"/>
                  <w:tcMar>
                    <w:top w:w="30" w:type="dxa"/>
                    <w:left w:w="30" w:type="dxa"/>
                    <w:bottom w:w="30" w:type="dxa"/>
                    <w:right w:w="30" w:type="dxa"/>
                  </w:tcMar>
                  <w:hideMark/>
                </w:tcPr>
                <w:p w:rsidR="00AB7FDC" w:rsidRPr="00AB7FDC" w:rsidRDefault="00AB7FDC" w:rsidP="00AB7FDC">
                  <w:pPr>
                    <w:widowControl/>
                    <w:jc w:val="left"/>
                    <w:rPr>
                      <w:rFonts w:ascii="宋体" w:eastAsia="宋体" w:hAnsi="宋体" w:cs="宋体"/>
                      <w:color w:val="686868"/>
                      <w:kern w:val="0"/>
                      <w:sz w:val="18"/>
                      <w:szCs w:val="18"/>
                    </w:rPr>
                  </w:pPr>
                  <w:r w:rsidRPr="00AB7FDC">
                    <w:rPr>
                      <w:rFonts w:ascii="宋体" w:eastAsia="宋体" w:hAnsi="宋体" w:cs="宋体"/>
                      <w:b/>
                      <w:bCs/>
                      <w:color w:val="686868"/>
                      <w:kern w:val="0"/>
                      <w:sz w:val="18"/>
                      <w:szCs w:val="18"/>
                    </w:rPr>
                    <w:t>文　　号:</w:t>
                  </w:r>
                  <w:r w:rsidRPr="00AB7FDC">
                    <w:rPr>
                      <w:rFonts w:ascii="宋体" w:eastAsia="宋体" w:hAnsi="宋体" w:cs="宋体"/>
                      <w:color w:val="686868"/>
                      <w:kern w:val="0"/>
                      <w:sz w:val="18"/>
                      <w:szCs w:val="18"/>
                    </w:rPr>
                    <w:t> 〔2019〕76号</w:t>
                  </w:r>
                  <w:bookmarkStart w:id="0" w:name="_GoBack"/>
                  <w:bookmarkEnd w:id="0"/>
                </w:p>
              </w:tc>
              <w:tc>
                <w:tcPr>
                  <w:tcW w:w="0" w:type="auto"/>
                  <w:tcMar>
                    <w:top w:w="30" w:type="dxa"/>
                    <w:left w:w="30" w:type="dxa"/>
                    <w:bottom w:w="30" w:type="dxa"/>
                    <w:right w:w="30" w:type="dxa"/>
                  </w:tcMar>
                  <w:hideMark/>
                </w:tcPr>
                <w:p w:rsidR="00AB7FDC" w:rsidRPr="00AB7FDC" w:rsidRDefault="00AB7FDC" w:rsidP="00AB7FDC">
                  <w:pPr>
                    <w:widowControl/>
                    <w:jc w:val="left"/>
                    <w:rPr>
                      <w:rFonts w:ascii="宋体" w:eastAsia="宋体" w:hAnsi="宋体" w:cs="宋体"/>
                      <w:color w:val="686868"/>
                      <w:kern w:val="0"/>
                      <w:sz w:val="18"/>
                      <w:szCs w:val="18"/>
                    </w:rPr>
                  </w:pPr>
                  <w:r w:rsidRPr="00AB7FDC">
                    <w:rPr>
                      <w:rFonts w:ascii="宋体" w:eastAsia="宋体" w:hAnsi="宋体" w:cs="宋体"/>
                      <w:b/>
                      <w:bCs/>
                      <w:color w:val="686868"/>
                      <w:kern w:val="0"/>
                      <w:sz w:val="18"/>
                      <w:szCs w:val="18"/>
                    </w:rPr>
                    <w:t>主 题 词:</w:t>
                  </w:r>
                </w:p>
              </w:tc>
            </w:tr>
          </w:tbl>
          <w:p w:rsidR="00AB7FDC" w:rsidRPr="00AB7FDC" w:rsidRDefault="00AB7FDC" w:rsidP="00AB7FDC">
            <w:pPr>
              <w:widowControl/>
              <w:jc w:val="left"/>
              <w:rPr>
                <w:rFonts w:ascii="宋体" w:eastAsia="宋体" w:hAnsi="宋体" w:cs="宋体"/>
                <w:color w:val="686868"/>
                <w:kern w:val="0"/>
                <w:sz w:val="18"/>
                <w:szCs w:val="18"/>
              </w:rPr>
            </w:pPr>
          </w:p>
        </w:tc>
      </w:tr>
    </w:tbl>
    <w:p w:rsidR="00AB7FDC" w:rsidRPr="00AB7FDC" w:rsidRDefault="00AB7FDC" w:rsidP="00AB7FDC">
      <w:pPr>
        <w:widowControl/>
        <w:jc w:val="center"/>
        <w:rPr>
          <w:rFonts w:ascii="微软雅黑" w:eastAsia="微软雅黑" w:hAnsi="微软雅黑" w:cs="宋体"/>
          <w:color w:val="000000"/>
          <w:kern w:val="0"/>
          <w:sz w:val="18"/>
          <w:szCs w:val="18"/>
        </w:rPr>
      </w:pPr>
      <w:r w:rsidRPr="00AB7FDC">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AB7FDC" w:rsidRPr="00AB7FDC" w:rsidRDefault="00AB7FDC" w:rsidP="00AB7FDC">
      <w:pPr>
        <w:widowControl/>
        <w:shd w:val="clear" w:color="auto" w:fill="FFFFFF"/>
        <w:spacing w:after="240"/>
        <w:jc w:val="center"/>
        <w:rPr>
          <w:rFonts w:ascii="微软雅黑" w:eastAsia="微软雅黑" w:hAnsi="微软雅黑" w:cs="宋体" w:hint="eastAsia"/>
          <w:color w:val="000000"/>
          <w:kern w:val="0"/>
          <w:sz w:val="18"/>
          <w:szCs w:val="18"/>
        </w:rPr>
      </w:pPr>
      <w:r w:rsidRPr="00AB7FDC">
        <w:rPr>
          <w:rFonts w:ascii="微软雅黑" w:eastAsia="微软雅黑" w:hAnsi="微软雅黑" w:cs="宋体" w:hint="eastAsia"/>
          <w:color w:val="000000"/>
          <w:kern w:val="0"/>
          <w:sz w:val="18"/>
          <w:szCs w:val="18"/>
        </w:rPr>
        <w:br/>
      </w:r>
      <w:r w:rsidRPr="00AB7FDC">
        <w:rPr>
          <w:rFonts w:ascii="黑体" w:eastAsia="黑体" w:hAnsi="黑体" w:cs="宋体" w:hint="eastAsia"/>
          <w:b/>
          <w:bCs/>
          <w:color w:val="FF0000"/>
          <w:kern w:val="0"/>
          <w:sz w:val="36"/>
          <w:szCs w:val="36"/>
        </w:rPr>
        <w:t>中国证监会行政处罚决定书（孙咸明）</w:t>
      </w:r>
    </w:p>
    <w:p w:rsidR="00AB7FDC" w:rsidRPr="00AB7FDC" w:rsidRDefault="00AB7FDC" w:rsidP="00AB7FDC">
      <w:pPr>
        <w:widowControl/>
        <w:shd w:val="clear" w:color="auto" w:fill="FFFFFF"/>
        <w:spacing w:line="1180" w:lineRule="atLeast"/>
        <w:jc w:val="center"/>
        <w:rPr>
          <w:rFonts w:ascii="楷体" w:eastAsia="楷体" w:hAnsi="楷体" w:cs="宋体" w:hint="eastAsia"/>
          <w:color w:val="000000"/>
          <w:kern w:val="0"/>
          <w:sz w:val="24"/>
          <w:szCs w:val="24"/>
        </w:rPr>
      </w:pPr>
      <w:r w:rsidRPr="00AB7FDC">
        <w:rPr>
          <w:rFonts w:ascii="Calibri" w:eastAsia="楷体" w:hAnsi="Calibri" w:cs="Calibri"/>
          <w:color w:val="000000"/>
          <w:kern w:val="0"/>
          <w:sz w:val="24"/>
          <w:szCs w:val="24"/>
        </w:rPr>
        <w:t> </w:t>
      </w:r>
    </w:p>
    <w:p w:rsidR="00AB7FDC" w:rsidRPr="00AB7FDC" w:rsidRDefault="00AB7FDC" w:rsidP="00AB7FDC">
      <w:pPr>
        <w:widowControl/>
        <w:shd w:val="clear" w:color="auto" w:fill="FFFFFF"/>
        <w:spacing w:line="560" w:lineRule="atLeast"/>
        <w:jc w:val="center"/>
        <w:rPr>
          <w:rFonts w:ascii="楷体" w:eastAsia="楷体" w:hAnsi="楷体" w:cs="宋体" w:hint="eastAsia"/>
          <w:color w:val="000000"/>
          <w:kern w:val="0"/>
          <w:sz w:val="24"/>
          <w:szCs w:val="24"/>
        </w:rPr>
      </w:pPr>
      <w:r w:rsidRPr="00AB7FDC">
        <w:rPr>
          <w:rFonts w:ascii="楷体" w:eastAsia="楷体" w:hAnsi="楷体" w:cs="宋体" w:hint="eastAsia"/>
          <w:color w:val="000000"/>
          <w:kern w:val="0"/>
          <w:sz w:val="24"/>
          <w:szCs w:val="24"/>
        </w:rPr>
        <w:t>〔</w:t>
      </w:r>
      <w:r w:rsidRPr="00AB7FDC">
        <w:rPr>
          <w:rFonts w:ascii="楷体" w:eastAsia="楷体" w:hAnsi="楷体" w:cs="宋体" w:hint="eastAsia"/>
          <w:color w:val="000000"/>
          <w:kern w:val="0"/>
          <w:szCs w:val="21"/>
        </w:rPr>
        <w:t>2019〕76号</w:t>
      </w:r>
    </w:p>
    <w:p w:rsidR="00AB7FDC" w:rsidRPr="00AB7FDC" w:rsidRDefault="00AB7FDC" w:rsidP="00AB7FDC">
      <w:pPr>
        <w:widowControl/>
        <w:shd w:val="clear" w:color="auto" w:fill="FFFFFF"/>
        <w:spacing w:line="560" w:lineRule="atLeast"/>
        <w:jc w:val="left"/>
        <w:rPr>
          <w:rFonts w:ascii="楷体" w:eastAsia="楷体" w:hAnsi="楷体" w:cs="宋体" w:hint="eastAsia"/>
          <w:color w:val="000000"/>
          <w:kern w:val="0"/>
          <w:sz w:val="24"/>
          <w:szCs w:val="24"/>
        </w:rPr>
      </w:pPr>
      <w:r w:rsidRPr="00AB7FDC">
        <w:rPr>
          <w:rFonts w:ascii="Calibri" w:eastAsia="楷体" w:hAnsi="Calibri" w:cs="Calibri"/>
          <w:color w:val="000000"/>
          <w:kern w:val="0"/>
          <w:sz w:val="24"/>
          <w:szCs w:val="24"/>
        </w:rPr>
        <w:t> </w:t>
      </w:r>
    </w:p>
    <w:p w:rsidR="00AB7FDC" w:rsidRPr="00AB7FDC" w:rsidRDefault="00AB7FDC" w:rsidP="00AB7FDC">
      <w:pPr>
        <w:widowControl/>
        <w:shd w:val="clear" w:color="auto" w:fill="FFFFFF"/>
        <w:spacing w:line="560" w:lineRule="atLeast"/>
        <w:jc w:val="left"/>
        <w:rPr>
          <w:rFonts w:ascii="楷体" w:eastAsia="楷体" w:hAnsi="楷体" w:cs="宋体" w:hint="eastAsia"/>
          <w:color w:val="000000"/>
          <w:kern w:val="0"/>
          <w:sz w:val="24"/>
          <w:szCs w:val="24"/>
        </w:rPr>
      </w:pPr>
      <w:r w:rsidRPr="00AB7FDC">
        <w:rPr>
          <w:rFonts w:ascii="Calibri" w:eastAsia="楷体" w:hAnsi="Calibri" w:cs="Calibri"/>
          <w:color w:val="000000"/>
          <w:kern w:val="0"/>
          <w:sz w:val="24"/>
          <w:szCs w:val="24"/>
        </w:rPr>
        <w:t> </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 w:val="24"/>
          <w:szCs w:val="24"/>
        </w:rPr>
        <w:t>孙咸明，男，</w:t>
      </w:r>
      <w:r w:rsidRPr="00AB7FDC">
        <w:rPr>
          <w:rFonts w:ascii="楷体" w:eastAsia="楷体" w:hAnsi="楷体" w:cs="宋体" w:hint="eastAsia"/>
          <w:color w:val="000000"/>
          <w:kern w:val="0"/>
          <w:szCs w:val="21"/>
        </w:rPr>
        <w:t>1984年3月出生，时任深圳前海谷春投资管理有限公司（以下简称前海谷春）董事长，住址：</w:t>
      </w:r>
      <w:r w:rsidRPr="00AB7FDC">
        <w:rPr>
          <w:rFonts w:ascii="楷体" w:eastAsia="楷体" w:hAnsi="楷体" w:cs="宋体" w:hint="eastAsia"/>
          <w:color w:val="000000"/>
          <w:kern w:val="0"/>
          <w:sz w:val="24"/>
          <w:szCs w:val="24"/>
        </w:rPr>
        <w:t>江西省吉安市吉州区</w:t>
      </w:r>
      <w:r w:rsidRPr="00AB7FDC">
        <w:rPr>
          <w:rFonts w:ascii="楷体" w:eastAsia="楷体" w:hAnsi="楷体" w:cs="宋体" w:hint="eastAsia"/>
          <w:color w:val="000000"/>
          <w:kern w:val="0"/>
          <w:szCs w:val="21"/>
        </w:rPr>
        <w:t>。</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 w:val="24"/>
          <w:szCs w:val="24"/>
        </w:rPr>
        <w:t>依据《中华人民共和国证券法》（以下简称《证券法》）的有关规定，我会对孙咸明内幕交易广州维力医疗器械股份有限公司（以下简称维力医疗）股票的行为进行了立案调查、审理，并依法向当事人告知了</w:t>
      </w:r>
      <w:proofErr w:type="gramStart"/>
      <w:r w:rsidRPr="00AB7FDC">
        <w:rPr>
          <w:rFonts w:ascii="楷体" w:eastAsia="楷体" w:hAnsi="楷体" w:cs="宋体" w:hint="eastAsia"/>
          <w:color w:val="000000"/>
          <w:kern w:val="0"/>
          <w:sz w:val="24"/>
          <w:szCs w:val="24"/>
        </w:rPr>
        <w:t>作出</w:t>
      </w:r>
      <w:proofErr w:type="gramEnd"/>
      <w:r w:rsidRPr="00AB7FDC">
        <w:rPr>
          <w:rFonts w:ascii="楷体" w:eastAsia="楷体" w:hAnsi="楷体" w:cs="宋体" w:hint="eastAsia"/>
          <w:color w:val="000000"/>
          <w:kern w:val="0"/>
          <w:sz w:val="24"/>
          <w:szCs w:val="24"/>
        </w:rPr>
        <w:t>行政处罚的事实、理由、依据及当事人依法享有的权利，当事人未提出陈述、申辩意见，也未要求听证。本案现已调查、审理终结。</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 w:val="24"/>
          <w:szCs w:val="24"/>
        </w:rPr>
        <w:t>经查明，孙咸明存在以下违法事实：</w:t>
      </w:r>
    </w:p>
    <w:p w:rsidR="00AB7FDC" w:rsidRPr="00AB7FDC" w:rsidRDefault="00AB7FDC" w:rsidP="00AB7FDC">
      <w:pPr>
        <w:widowControl/>
        <w:shd w:val="clear" w:color="auto" w:fill="FFFFFF"/>
        <w:spacing w:line="620" w:lineRule="atLeast"/>
        <w:ind w:firstLine="616"/>
        <w:jc w:val="left"/>
        <w:rPr>
          <w:rFonts w:ascii="微软雅黑" w:eastAsia="微软雅黑" w:hAnsi="微软雅黑" w:cs="宋体" w:hint="eastAsia"/>
          <w:color w:val="000000"/>
          <w:kern w:val="0"/>
          <w:sz w:val="24"/>
          <w:szCs w:val="24"/>
        </w:rPr>
      </w:pPr>
      <w:r w:rsidRPr="00AB7FDC">
        <w:rPr>
          <w:rFonts w:ascii="楷体" w:eastAsia="楷体" w:hAnsi="楷体" w:cs="宋体" w:hint="eastAsia"/>
          <w:b/>
          <w:bCs/>
          <w:color w:val="000000"/>
          <w:kern w:val="0"/>
          <w:sz w:val="24"/>
          <w:szCs w:val="24"/>
        </w:rPr>
        <w:t>一、内幕信息的形成与公开过程</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Cs w:val="21"/>
        </w:rPr>
        <w:lastRenderedPageBreak/>
        <w:t>2017年12月9日，江西狼和医疗器械股份有限公司（以下简称狼和医疗）总经理刘某鹏与狼和</w:t>
      </w:r>
      <w:proofErr w:type="gramStart"/>
      <w:r w:rsidRPr="00AB7FDC">
        <w:rPr>
          <w:rFonts w:ascii="楷体" w:eastAsia="楷体" w:hAnsi="楷体" w:cs="宋体" w:hint="eastAsia"/>
          <w:color w:val="000000"/>
          <w:kern w:val="0"/>
          <w:szCs w:val="21"/>
        </w:rPr>
        <w:t>医疗小</w:t>
      </w:r>
      <w:proofErr w:type="gramEnd"/>
      <w:r w:rsidRPr="00AB7FDC">
        <w:rPr>
          <w:rFonts w:ascii="楷体" w:eastAsia="楷体" w:hAnsi="楷体" w:cs="宋体" w:hint="eastAsia"/>
          <w:color w:val="000000"/>
          <w:kern w:val="0"/>
          <w:szCs w:val="21"/>
        </w:rPr>
        <w:t>股东代表林某涛、陈某伟在广州见面，提到狼和医疗申请IPO业绩压力较大，可以考虑并购重组的道路，请林某涛帮忙牵线合作。</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Cs w:val="21"/>
        </w:rPr>
        <w:t>2017年12月10日，林某涛联系下属盛某华，</w:t>
      </w:r>
      <w:proofErr w:type="gramStart"/>
      <w:r w:rsidRPr="00AB7FDC">
        <w:rPr>
          <w:rFonts w:ascii="楷体" w:eastAsia="楷体" w:hAnsi="楷体" w:cs="宋体" w:hint="eastAsia"/>
          <w:color w:val="000000"/>
          <w:kern w:val="0"/>
          <w:szCs w:val="21"/>
        </w:rPr>
        <w:t>告知其狼和</w:t>
      </w:r>
      <w:proofErr w:type="gramEnd"/>
      <w:r w:rsidRPr="00AB7FDC">
        <w:rPr>
          <w:rFonts w:ascii="楷体" w:eastAsia="楷体" w:hAnsi="楷体" w:cs="宋体" w:hint="eastAsia"/>
          <w:color w:val="000000"/>
          <w:kern w:val="0"/>
          <w:szCs w:val="21"/>
        </w:rPr>
        <w:t>医疗考虑被收购，认为维力医疗和狼和医疗业务比较匹配，请盛某华牵线联系维力医疗。</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Cs w:val="21"/>
        </w:rPr>
        <w:t>2017年12月12日，盛某华联系维力医疗董事长向某，表示有并购重组项目介绍，并约定14日见面详谈。</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Cs w:val="21"/>
        </w:rPr>
        <w:t>2017年12月14日上午八点，盛某华、林某涛、向某见面，盛某华、林某涛向向某介绍了狼和医疗的概况，向某表示有收购兴趣和意向，可以进一步接触沟通。与向某会面后，当日上午九点半，林某涛又参加了狼和医疗在广州召开的非正式股东会，参会的还有狼和医疗董事长周某海、总经理刘某鹏及小股东代表等。经过讨论，狼和医疗股东基本同意并购，林某涛表示近期让同事安排狼和医疗与收购意向方的对接事项。</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Cs w:val="21"/>
        </w:rPr>
        <w:t>2017年12月25日，向某带领维力医疗总经理</w:t>
      </w:r>
      <w:proofErr w:type="gramStart"/>
      <w:r w:rsidRPr="00AB7FDC">
        <w:rPr>
          <w:rFonts w:ascii="楷体" w:eastAsia="楷体" w:hAnsi="楷体" w:cs="宋体" w:hint="eastAsia"/>
          <w:color w:val="000000"/>
          <w:kern w:val="0"/>
          <w:szCs w:val="21"/>
        </w:rPr>
        <w:t>韩某源同盛某华</w:t>
      </w:r>
      <w:proofErr w:type="gramEnd"/>
      <w:r w:rsidRPr="00AB7FDC">
        <w:rPr>
          <w:rFonts w:ascii="楷体" w:eastAsia="楷体" w:hAnsi="楷体" w:cs="宋体" w:hint="eastAsia"/>
          <w:color w:val="000000"/>
          <w:kern w:val="0"/>
          <w:szCs w:val="21"/>
        </w:rPr>
        <w:t>一起前往狼和医疗广州销售中心，刘某鹏等人接待，这是维力医疗、狼和医疗双方管理层第一次会面。</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Cs w:val="21"/>
        </w:rPr>
        <w:t>2017年12月29日，刘某鹏、盛某华等人前往维力医疗进行第二次商谈，维力医疗参与的有向某、韩某源等人，双方就收购事项进行接洽，主要是介绍狼和医疗的主营业务、财务数据、销售渠道、发展战略。</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Cs w:val="21"/>
        </w:rPr>
        <w:t>2018年1月3日，刘某鹏等人前往维力医疗，维力医疗方参与商谈的有向某等人，双方就交易价格、收购方式进行了初步商谈。</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Cs w:val="21"/>
        </w:rPr>
        <w:t>2018年1月6日，向某等人前往吉安参观狼和医疗的生产线，了解工厂的产能、收购后的工厂规划调整，狼和医疗接待的有周某海、刘某鹏等人。</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Cs w:val="21"/>
        </w:rPr>
        <w:lastRenderedPageBreak/>
        <w:t>2018年1月13日</w:t>
      </w:r>
      <w:r w:rsidRPr="00AB7FDC">
        <w:rPr>
          <w:rFonts w:ascii="楷体" w:eastAsia="楷体" w:hAnsi="楷体" w:cs="宋体" w:hint="eastAsia"/>
          <w:color w:val="000000"/>
          <w:kern w:val="0"/>
          <w:sz w:val="24"/>
          <w:szCs w:val="24"/>
        </w:rPr>
        <w:t>，维力医疗发布停牌公告称</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公司正在筹划重大事项，可能涉及重大资产重组</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w:t>
      </w:r>
      <w:r w:rsidRPr="00AB7FDC">
        <w:rPr>
          <w:rFonts w:ascii="楷体" w:eastAsia="楷体" w:hAnsi="楷体" w:cs="宋体" w:hint="eastAsia"/>
          <w:color w:val="000000"/>
          <w:kern w:val="0"/>
          <w:szCs w:val="21"/>
        </w:rPr>
        <w:t>1月15日维力医疗正式停牌。</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Cs w:val="21"/>
        </w:rPr>
        <w:t>2018年2月14日，维力医疗发布《广州维力医疗器械股份有限公司重大资产重组进展暨签署重大资产重组意向性协议的公告》，表示将以发行股份及支付现金的方式购买狼和医疗100%股权，该事项构成重大资产重组。</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Cs w:val="21"/>
        </w:rPr>
        <w:t>2018年5月3日，维力医疗正式复牌。</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 w:val="24"/>
          <w:szCs w:val="24"/>
        </w:rPr>
        <w:t>维力医疗收购狼和医疗的事项，为《证券法》第六十七条第二款第二项所述重大事件，属于《证券法》第七十五条第二款第一项规定的内幕信息，内幕信息敏感期为</w:t>
      </w:r>
      <w:r w:rsidRPr="00AB7FDC">
        <w:rPr>
          <w:rFonts w:ascii="楷体" w:eastAsia="楷体" w:hAnsi="楷体" w:cs="宋体" w:hint="eastAsia"/>
          <w:color w:val="000000"/>
          <w:kern w:val="0"/>
          <w:szCs w:val="21"/>
        </w:rPr>
        <w:t>2017年12月14日至2018年2月14日。周某海是《上市公司重大资产重组管理办法》（证监会令第109号）第四十一条规定的“</w:t>
      </w:r>
      <w:r w:rsidRPr="00AB7FDC">
        <w:rPr>
          <w:rFonts w:ascii="楷体" w:eastAsia="楷体" w:hAnsi="楷体" w:cs="宋体" w:hint="eastAsia"/>
          <w:color w:val="000000"/>
          <w:kern w:val="0"/>
          <w:sz w:val="24"/>
          <w:szCs w:val="24"/>
        </w:rPr>
        <w:t>交易对方的主要负责人</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，属于《证券法》第七十四条第七项规定的内幕信息知情人，其知悉内幕信息的时间不晚于</w:t>
      </w:r>
      <w:r w:rsidRPr="00AB7FDC">
        <w:rPr>
          <w:rFonts w:ascii="楷体" w:eastAsia="楷体" w:hAnsi="楷体" w:cs="宋体" w:hint="eastAsia"/>
          <w:color w:val="000000"/>
          <w:kern w:val="0"/>
          <w:szCs w:val="21"/>
        </w:rPr>
        <w:t>2018年1月6日。</w:t>
      </w:r>
    </w:p>
    <w:p w:rsidR="00AB7FDC" w:rsidRPr="00AB7FDC" w:rsidRDefault="00AB7FDC" w:rsidP="00AB7FDC">
      <w:pPr>
        <w:widowControl/>
        <w:shd w:val="clear" w:color="auto" w:fill="FFFFFF"/>
        <w:spacing w:line="620" w:lineRule="atLeast"/>
        <w:ind w:firstLine="616"/>
        <w:jc w:val="left"/>
        <w:rPr>
          <w:rFonts w:ascii="微软雅黑" w:eastAsia="微软雅黑" w:hAnsi="微软雅黑" w:cs="宋体" w:hint="eastAsia"/>
          <w:color w:val="000000"/>
          <w:kern w:val="0"/>
          <w:sz w:val="24"/>
          <w:szCs w:val="24"/>
        </w:rPr>
      </w:pPr>
      <w:r w:rsidRPr="00AB7FDC">
        <w:rPr>
          <w:rFonts w:ascii="楷体" w:eastAsia="楷体" w:hAnsi="楷体" w:cs="宋体" w:hint="eastAsia"/>
          <w:b/>
          <w:bCs/>
          <w:color w:val="000000"/>
          <w:kern w:val="0"/>
          <w:sz w:val="24"/>
          <w:szCs w:val="24"/>
        </w:rPr>
        <w:t>二、孙咸明内幕交易</w:t>
      </w:r>
      <w:r w:rsidRPr="00AB7FDC">
        <w:rPr>
          <w:rFonts w:ascii="楷体" w:eastAsia="楷体" w:hAnsi="楷体" w:cs="宋体" w:hint="eastAsia"/>
          <w:b/>
          <w:bCs/>
          <w:color w:val="000000"/>
          <w:kern w:val="0"/>
          <w:szCs w:val="21"/>
        </w:rPr>
        <w:t>“</w:t>
      </w:r>
      <w:r w:rsidRPr="00AB7FDC">
        <w:rPr>
          <w:rFonts w:ascii="楷体" w:eastAsia="楷体" w:hAnsi="楷体" w:cs="宋体" w:hint="eastAsia"/>
          <w:b/>
          <w:bCs/>
          <w:color w:val="000000"/>
          <w:kern w:val="0"/>
          <w:sz w:val="24"/>
          <w:szCs w:val="24"/>
        </w:rPr>
        <w:t>维力医疗</w:t>
      </w:r>
      <w:r w:rsidRPr="00AB7FDC">
        <w:rPr>
          <w:rFonts w:ascii="楷体" w:eastAsia="楷体" w:hAnsi="楷体" w:cs="宋体" w:hint="eastAsia"/>
          <w:b/>
          <w:bCs/>
          <w:color w:val="000000"/>
          <w:kern w:val="0"/>
          <w:szCs w:val="21"/>
        </w:rPr>
        <w:t>”</w:t>
      </w:r>
    </w:p>
    <w:p w:rsidR="00AB7FDC" w:rsidRPr="00AB7FDC" w:rsidRDefault="00AB7FDC" w:rsidP="00AB7FDC">
      <w:pPr>
        <w:widowControl/>
        <w:shd w:val="clear" w:color="auto" w:fill="FFFFFF"/>
        <w:spacing w:line="620" w:lineRule="atLeast"/>
        <w:ind w:firstLine="616"/>
        <w:jc w:val="left"/>
        <w:rPr>
          <w:rFonts w:ascii="微软雅黑" w:eastAsia="微软雅黑" w:hAnsi="微软雅黑" w:cs="宋体" w:hint="eastAsia"/>
          <w:color w:val="000000"/>
          <w:kern w:val="0"/>
          <w:sz w:val="24"/>
          <w:szCs w:val="24"/>
        </w:rPr>
      </w:pPr>
      <w:r w:rsidRPr="00AB7FDC">
        <w:rPr>
          <w:rFonts w:ascii="楷体" w:eastAsia="楷体" w:hAnsi="楷体" w:cs="宋体" w:hint="eastAsia"/>
          <w:b/>
          <w:bCs/>
          <w:color w:val="000000"/>
          <w:kern w:val="0"/>
          <w:sz w:val="24"/>
          <w:szCs w:val="24"/>
        </w:rPr>
        <w:t>（一）孙咸明与内幕信息知情人联络接触</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 w:val="24"/>
          <w:szCs w:val="24"/>
        </w:rPr>
        <w:t>孙咸明与周某海都是吉安人，</w:t>
      </w:r>
      <w:r w:rsidRPr="00AB7FDC">
        <w:rPr>
          <w:rFonts w:ascii="楷体" w:eastAsia="楷体" w:hAnsi="楷体" w:cs="宋体" w:hint="eastAsia"/>
          <w:color w:val="000000"/>
          <w:kern w:val="0"/>
          <w:szCs w:val="21"/>
        </w:rPr>
        <w:t>2017年相识。2018年1月7日20点19分，孙咸明通过电话约周某海出来喝茶。当晚，周某海与孙咸明及其他朋友一起见面喝茶。孙咸明否认当晚</w:t>
      </w:r>
      <w:proofErr w:type="gramStart"/>
      <w:r w:rsidRPr="00AB7FDC">
        <w:rPr>
          <w:rFonts w:ascii="楷体" w:eastAsia="楷体" w:hAnsi="楷体" w:cs="宋体" w:hint="eastAsia"/>
          <w:color w:val="000000"/>
          <w:kern w:val="0"/>
          <w:szCs w:val="21"/>
        </w:rPr>
        <w:t>有谈到狼</w:t>
      </w:r>
      <w:proofErr w:type="gramEnd"/>
      <w:r w:rsidRPr="00AB7FDC">
        <w:rPr>
          <w:rFonts w:ascii="楷体" w:eastAsia="楷体" w:hAnsi="楷体" w:cs="宋体" w:hint="eastAsia"/>
          <w:color w:val="000000"/>
          <w:kern w:val="0"/>
          <w:szCs w:val="21"/>
        </w:rPr>
        <w:t>和医疗重大资产重组的事项。周某海称，自己没有主动</w:t>
      </w:r>
      <w:proofErr w:type="gramStart"/>
      <w:r w:rsidRPr="00AB7FDC">
        <w:rPr>
          <w:rFonts w:ascii="楷体" w:eastAsia="楷体" w:hAnsi="楷体" w:cs="宋体" w:hint="eastAsia"/>
          <w:color w:val="000000"/>
          <w:kern w:val="0"/>
          <w:szCs w:val="21"/>
        </w:rPr>
        <w:t>聊公司</w:t>
      </w:r>
      <w:proofErr w:type="gramEnd"/>
      <w:r w:rsidRPr="00AB7FDC">
        <w:rPr>
          <w:rFonts w:ascii="楷体" w:eastAsia="楷体" w:hAnsi="楷体" w:cs="宋体" w:hint="eastAsia"/>
          <w:color w:val="000000"/>
          <w:kern w:val="0"/>
          <w:szCs w:val="21"/>
        </w:rPr>
        <w:t>的事情，但不记得当时是否有市里的领导问他公司的情况。</w:t>
      </w:r>
    </w:p>
    <w:p w:rsidR="00AB7FDC" w:rsidRPr="00AB7FDC" w:rsidRDefault="00AB7FDC" w:rsidP="00AB7FDC">
      <w:pPr>
        <w:widowControl/>
        <w:shd w:val="clear" w:color="auto" w:fill="FFFFFF"/>
        <w:spacing w:line="620" w:lineRule="atLeast"/>
        <w:ind w:firstLine="616"/>
        <w:jc w:val="left"/>
        <w:rPr>
          <w:rFonts w:ascii="微软雅黑" w:eastAsia="微软雅黑" w:hAnsi="微软雅黑" w:cs="宋体" w:hint="eastAsia"/>
          <w:color w:val="000000"/>
          <w:kern w:val="0"/>
          <w:sz w:val="24"/>
          <w:szCs w:val="24"/>
        </w:rPr>
      </w:pPr>
      <w:r w:rsidRPr="00AB7FDC">
        <w:rPr>
          <w:rFonts w:ascii="楷体" w:eastAsia="楷体" w:hAnsi="楷体" w:cs="宋体" w:hint="eastAsia"/>
          <w:b/>
          <w:bCs/>
          <w:color w:val="000000"/>
          <w:kern w:val="0"/>
          <w:sz w:val="24"/>
          <w:szCs w:val="24"/>
        </w:rPr>
        <w:t>（二）孙咸明利用</w:t>
      </w:r>
      <w:r w:rsidRPr="00AB7FDC">
        <w:rPr>
          <w:rFonts w:ascii="楷体" w:eastAsia="楷体" w:hAnsi="楷体" w:cs="宋体" w:hint="eastAsia"/>
          <w:b/>
          <w:bCs/>
          <w:color w:val="000000"/>
          <w:kern w:val="0"/>
          <w:szCs w:val="21"/>
        </w:rPr>
        <w:t>“</w:t>
      </w:r>
      <w:r w:rsidRPr="00AB7FDC">
        <w:rPr>
          <w:rFonts w:ascii="楷体" w:eastAsia="楷体" w:hAnsi="楷体" w:cs="宋体" w:hint="eastAsia"/>
          <w:b/>
          <w:bCs/>
          <w:color w:val="000000"/>
          <w:kern w:val="0"/>
          <w:sz w:val="24"/>
          <w:szCs w:val="24"/>
        </w:rPr>
        <w:t>姚某芳</w:t>
      </w:r>
      <w:r w:rsidRPr="00AB7FDC">
        <w:rPr>
          <w:rFonts w:ascii="楷体" w:eastAsia="楷体" w:hAnsi="楷体" w:cs="宋体" w:hint="eastAsia"/>
          <w:b/>
          <w:bCs/>
          <w:color w:val="000000"/>
          <w:kern w:val="0"/>
          <w:szCs w:val="21"/>
        </w:rPr>
        <w:t>”</w:t>
      </w:r>
      <w:r w:rsidRPr="00AB7FDC">
        <w:rPr>
          <w:rFonts w:ascii="楷体" w:eastAsia="楷体" w:hAnsi="楷体" w:cs="宋体" w:hint="eastAsia"/>
          <w:b/>
          <w:bCs/>
          <w:color w:val="000000"/>
          <w:kern w:val="0"/>
          <w:sz w:val="24"/>
          <w:szCs w:val="24"/>
        </w:rPr>
        <w:t>证券账户交易</w:t>
      </w:r>
      <w:r w:rsidRPr="00AB7FDC">
        <w:rPr>
          <w:rFonts w:ascii="楷体" w:eastAsia="楷体" w:hAnsi="楷体" w:cs="宋体" w:hint="eastAsia"/>
          <w:b/>
          <w:bCs/>
          <w:color w:val="000000"/>
          <w:kern w:val="0"/>
          <w:szCs w:val="21"/>
        </w:rPr>
        <w:t>“</w:t>
      </w:r>
      <w:r w:rsidRPr="00AB7FDC">
        <w:rPr>
          <w:rFonts w:ascii="楷体" w:eastAsia="楷体" w:hAnsi="楷体" w:cs="宋体" w:hint="eastAsia"/>
          <w:b/>
          <w:bCs/>
          <w:color w:val="000000"/>
          <w:kern w:val="0"/>
          <w:sz w:val="24"/>
          <w:szCs w:val="24"/>
        </w:rPr>
        <w:t>维力医疗</w:t>
      </w:r>
      <w:r w:rsidRPr="00AB7FDC">
        <w:rPr>
          <w:rFonts w:ascii="楷体" w:eastAsia="楷体" w:hAnsi="楷体" w:cs="宋体" w:hint="eastAsia"/>
          <w:b/>
          <w:bCs/>
          <w:color w:val="000000"/>
          <w:kern w:val="0"/>
          <w:szCs w:val="21"/>
        </w:rPr>
        <w:t>”</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Cs w:val="21"/>
        </w:rPr>
        <w:t>1.</w:t>
      </w:r>
      <w:r w:rsidRPr="00AB7FDC">
        <w:rPr>
          <w:rFonts w:ascii="Calibri" w:eastAsia="楷体" w:hAnsi="Calibri" w:cs="Calibri"/>
          <w:color w:val="000000"/>
          <w:kern w:val="0"/>
          <w:sz w:val="24"/>
          <w:szCs w:val="24"/>
        </w:rPr>
        <w:t> </w:t>
      </w:r>
      <w:r w:rsidRPr="00AB7FDC">
        <w:rPr>
          <w:rFonts w:ascii="楷体" w:eastAsia="楷体" w:hAnsi="楷体" w:cs="宋体" w:hint="eastAsia"/>
          <w:color w:val="000000"/>
          <w:kern w:val="0"/>
          <w:sz w:val="24"/>
          <w:szCs w:val="24"/>
        </w:rPr>
        <w:t>涉案账户信息</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姚某芳</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证券账户于</w:t>
      </w:r>
      <w:r w:rsidRPr="00AB7FDC">
        <w:rPr>
          <w:rFonts w:ascii="楷体" w:eastAsia="楷体" w:hAnsi="楷体" w:cs="宋体" w:hint="eastAsia"/>
          <w:color w:val="000000"/>
          <w:kern w:val="0"/>
          <w:szCs w:val="21"/>
        </w:rPr>
        <w:t>2018年1月9日在方正证券股份有限公司吉安吉州大道证券营业部开立，下挂一个上海股东账户和一个深圳股东账户。</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Cs w:val="21"/>
        </w:rPr>
        <w:lastRenderedPageBreak/>
        <w:t>2.</w:t>
      </w:r>
      <w:r w:rsidRPr="00AB7FDC">
        <w:rPr>
          <w:rFonts w:ascii="Calibri" w:eastAsia="楷体" w:hAnsi="Calibri" w:cs="Calibri"/>
          <w:color w:val="000000"/>
          <w:kern w:val="0"/>
          <w:szCs w:val="21"/>
        </w:rPr>
        <w:t> </w:t>
      </w:r>
      <w:r w:rsidRPr="00AB7FDC">
        <w:rPr>
          <w:rFonts w:ascii="楷体" w:eastAsia="楷体" w:hAnsi="楷体" w:cs="宋体" w:hint="eastAsia"/>
          <w:color w:val="000000"/>
          <w:kern w:val="0"/>
          <w:sz w:val="24"/>
          <w:szCs w:val="24"/>
        </w:rPr>
        <w:t>涉案账户实际控制人情况</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姚某芳</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证券账户系前海谷</w:t>
      </w:r>
      <w:proofErr w:type="gramStart"/>
      <w:r w:rsidRPr="00AB7FDC">
        <w:rPr>
          <w:rFonts w:ascii="楷体" w:eastAsia="楷体" w:hAnsi="楷体" w:cs="宋体" w:hint="eastAsia"/>
          <w:color w:val="000000"/>
          <w:kern w:val="0"/>
          <w:sz w:val="24"/>
          <w:szCs w:val="24"/>
        </w:rPr>
        <w:t>春股东</w:t>
      </w:r>
      <w:proofErr w:type="gramEnd"/>
      <w:r w:rsidRPr="00AB7FDC">
        <w:rPr>
          <w:rFonts w:ascii="楷体" w:eastAsia="楷体" w:hAnsi="楷体" w:cs="宋体" w:hint="eastAsia"/>
          <w:color w:val="000000"/>
          <w:kern w:val="0"/>
          <w:sz w:val="24"/>
          <w:szCs w:val="24"/>
        </w:rPr>
        <w:t>姚某正之妹姚某芳开立，孙咸明向姚某正借用该账号。账户交易</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维力医疗</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的操作人为前海谷春出纳项某，交易指令由孙咸明下达。</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Cs w:val="21"/>
        </w:rPr>
        <w:t>3.</w:t>
      </w:r>
      <w:r w:rsidRPr="00AB7FDC">
        <w:rPr>
          <w:rFonts w:ascii="Calibri" w:eastAsia="楷体" w:hAnsi="Calibri" w:cs="Calibri"/>
          <w:color w:val="000000"/>
          <w:kern w:val="0"/>
          <w:szCs w:val="21"/>
        </w:rPr>
        <w:t> </w:t>
      </w:r>
      <w:r w:rsidRPr="00AB7FDC">
        <w:rPr>
          <w:rFonts w:ascii="楷体" w:eastAsia="楷体" w:hAnsi="楷体" w:cs="宋体" w:hint="eastAsia"/>
          <w:color w:val="000000"/>
          <w:kern w:val="0"/>
          <w:sz w:val="24"/>
          <w:szCs w:val="24"/>
        </w:rPr>
        <w:t>交易情况</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姚某芳</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证券账户于</w:t>
      </w:r>
      <w:r w:rsidRPr="00AB7FDC">
        <w:rPr>
          <w:rFonts w:ascii="楷体" w:eastAsia="楷体" w:hAnsi="楷体" w:cs="宋体" w:hint="eastAsia"/>
          <w:color w:val="000000"/>
          <w:kern w:val="0"/>
          <w:szCs w:val="21"/>
        </w:rPr>
        <w:t>2018年1月10日买入“</w:t>
      </w:r>
      <w:r w:rsidRPr="00AB7FDC">
        <w:rPr>
          <w:rFonts w:ascii="楷体" w:eastAsia="楷体" w:hAnsi="楷体" w:cs="宋体" w:hint="eastAsia"/>
          <w:color w:val="000000"/>
          <w:kern w:val="0"/>
          <w:sz w:val="24"/>
          <w:szCs w:val="24"/>
        </w:rPr>
        <w:t>维力医疗</w:t>
      </w:r>
      <w:r w:rsidRPr="00AB7FDC">
        <w:rPr>
          <w:rFonts w:ascii="楷体" w:eastAsia="楷体" w:hAnsi="楷体" w:cs="宋体" w:hint="eastAsia"/>
          <w:color w:val="000000"/>
          <w:kern w:val="0"/>
          <w:szCs w:val="21"/>
        </w:rPr>
        <w:t>”13笔，共21,900股，总计388,676元；于1月11日，买入“</w:t>
      </w:r>
      <w:r w:rsidRPr="00AB7FDC">
        <w:rPr>
          <w:rFonts w:ascii="楷体" w:eastAsia="楷体" w:hAnsi="楷体" w:cs="宋体" w:hint="eastAsia"/>
          <w:color w:val="000000"/>
          <w:kern w:val="0"/>
          <w:sz w:val="24"/>
          <w:szCs w:val="24"/>
        </w:rPr>
        <w:t>维力医疗</w:t>
      </w:r>
      <w:r w:rsidRPr="00AB7FDC">
        <w:rPr>
          <w:rFonts w:ascii="楷体" w:eastAsia="楷体" w:hAnsi="楷体" w:cs="宋体" w:hint="eastAsia"/>
          <w:color w:val="000000"/>
          <w:kern w:val="0"/>
          <w:szCs w:val="21"/>
        </w:rPr>
        <w:t>”31笔，共28,800股，总计513,251元。</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姚某芳</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证券账户于</w:t>
      </w:r>
      <w:r w:rsidRPr="00AB7FDC">
        <w:rPr>
          <w:rFonts w:ascii="楷体" w:eastAsia="楷体" w:hAnsi="楷体" w:cs="宋体" w:hint="eastAsia"/>
          <w:color w:val="000000"/>
          <w:kern w:val="0"/>
          <w:szCs w:val="21"/>
        </w:rPr>
        <w:t>2018年5月4日（复牌次日）卖出“</w:t>
      </w:r>
      <w:r w:rsidRPr="00AB7FDC">
        <w:rPr>
          <w:rFonts w:ascii="楷体" w:eastAsia="楷体" w:hAnsi="楷体" w:cs="宋体" w:hint="eastAsia"/>
          <w:color w:val="000000"/>
          <w:kern w:val="0"/>
          <w:sz w:val="24"/>
          <w:szCs w:val="24"/>
        </w:rPr>
        <w:t>维力医疗</w:t>
      </w:r>
      <w:r w:rsidRPr="00AB7FDC">
        <w:rPr>
          <w:rFonts w:ascii="楷体" w:eastAsia="楷体" w:hAnsi="楷体" w:cs="宋体" w:hint="eastAsia"/>
          <w:color w:val="000000"/>
          <w:kern w:val="0"/>
          <w:szCs w:val="21"/>
        </w:rPr>
        <w:t>”1笔，共25,300股，总计536,154元；于5月7日卖出“</w:t>
      </w:r>
      <w:r w:rsidRPr="00AB7FDC">
        <w:rPr>
          <w:rFonts w:ascii="楷体" w:eastAsia="楷体" w:hAnsi="楷体" w:cs="宋体" w:hint="eastAsia"/>
          <w:color w:val="000000"/>
          <w:kern w:val="0"/>
          <w:sz w:val="24"/>
          <w:szCs w:val="24"/>
        </w:rPr>
        <w:t>维力医疗</w:t>
      </w:r>
      <w:r w:rsidRPr="00AB7FDC">
        <w:rPr>
          <w:rFonts w:ascii="楷体" w:eastAsia="楷体" w:hAnsi="楷体" w:cs="宋体" w:hint="eastAsia"/>
          <w:color w:val="000000"/>
          <w:kern w:val="0"/>
          <w:szCs w:val="21"/>
        </w:rPr>
        <w:t>”3笔，共25,400股，总计498,344元。账户中持有“</w:t>
      </w:r>
      <w:r w:rsidRPr="00AB7FDC">
        <w:rPr>
          <w:rFonts w:ascii="楷体" w:eastAsia="楷体" w:hAnsi="楷体" w:cs="宋体" w:hint="eastAsia"/>
          <w:color w:val="000000"/>
          <w:kern w:val="0"/>
          <w:sz w:val="24"/>
          <w:szCs w:val="24"/>
        </w:rPr>
        <w:t>维力医疗</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全部卖出。</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 w:val="24"/>
          <w:szCs w:val="24"/>
        </w:rPr>
        <w:t>经查，</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姚某芳</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证券账户交易</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维力医疗</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盈利</w:t>
      </w:r>
      <w:r w:rsidRPr="00AB7FDC">
        <w:rPr>
          <w:rFonts w:ascii="楷体" w:eastAsia="楷体" w:hAnsi="楷体" w:cs="宋体" w:hint="eastAsia"/>
          <w:color w:val="000000"/>
          <w:kern w:val="0"/>
          <w:szCs w:val="21"/>
        </w:rPr>
        <w:t>130,916.85元。</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Cs w:val="21"/>
        </w:rPr>
        <w:t>4.</w:t>
      </w:r>
      <w:r w:rsidRPr="00AB7FDC">
        <w:rPr>
          <w:rFonts w:ascii="Calibri" w:eastAsia="楷体" w:hAnsi="Calibri" w:cs="Calibri"/>
          <w:color w:val="000000"/>
          <w:kern w:val="0"/>
          <w:szCs w:val="21"/>
        </w:rPr>
        <w:t> </w:t>
      </w:r>
      <w:r w:rsidRPr="00AB7FDC">
        <w:rPr>
          <w:rFonts w:ascii="楷体" w:eastAsia="楷体" w:hAnsi="楷体" w:cs="宋体" w:hint="eastAsia"/>
          <w:color w:val="000000"/>
          <w:kern w:val="0"/>
          <w:sz w:val="24"/>
          <w:szCs w:val="24"/>
        </w:rPr>
        <w:t>资金来源、去向及划转情况</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姚某芳</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证券账户对应的三方存管银行账户为姚某芳名下的中国银行账户，账户资金</w:t>
      </w:r>
      <w:r w:rsidRPr="00AB7FDC">
        <w:rPr>
          <w:rFonts w:ascii="楷体" w:eastAsia="楷体" w:hAnsi="楷体" w:cs="宋体" w:hint="eastAsia"/>
          <w:color w:val="000000"/>
          <w:kern w:val="0"/>
          <w:szCs w:val="21"/>
        </w:rPr>
        <w:t>100万元系孙咸明向其朋友任某春有息拆借。2018年1月10日当天，任某春命其公司员工胡某武将资金转入孙咸明吉安农商行账户，孙咸明随后将资金转入“</w:t>
      </w:r>
      <w:r w:rsidRPr="00AB7FDC">
        <w:rPr>
          <w:rFonts w:ascii="楷体" w:eastAsia="楷体" w:hAnsi="楷体" w:cs="宋体" w:hint="eastAsia"/>
          <w:color w:val="000000"/>
          <w:kern w:val="0"/>
          <w:sz w:val="24"/>
          <w:szCs w:val="24"/>
        </w:rPr>
        <w:t>姚某芳</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三方存管账户。</w:t>
      </w:r>
      <w:r w:rsidRPr="00AB7FDC">
        <w:rPr>
          <w:rFonts w:ascii="楷体" w:eastAsia="楷体" w:hAnsi="楷体" w:cs="宋体" w:hint="eastAsia"/>
          <w:color w:val="000000"/>
          <w:kern w:val="0"/>
          <w:szCs w:val="21"/>
        </w:rPr>
        <w:t>5月8日，孙咸明通过“</w:t>
      </w:r>
      <w:r w:rsidRPr="00AB7FDC">
        <w:rPr>
          <w:rFonts w:ascii="楷体" w:eastAsia="楷体" w:hAnsi="楷体" w:cs="宋体" w:hint="eastAsia"/>
          <w:color w:val="000000"/>
          <w:kern w:val="0"/>
          <w:sz w:val="24"/>
          <w:szCs w:val="24"/>
        </w:rPr>
        <w:t>姚某芳</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三方存管账户向</w:t>
      </w:r>
      <w:proofErr w:type="gramStart"/>
      <w:r w:rsidRPr="00AB7FDC">
        <w:rPr>
          <w:rFonts w:ascii="楷体" w:eastAsia="楷体" w:hAnsi="楷体" w:cs="宋体" w:hint="eastAsia"/>
          <w:color w:val="000000"/>
          <w:kern w:val="0"/>
          <w:sz w:val="24"/>
          <w:szCs w:val="24"/>
        </w:rPr>
        <w:t>胡某武转账</w:t>
      </w:r>
      <w:proofErr w:type="gramEnd"/>
      <w:r w:rsidRPr="00AB7FDC">
        <w:rPr>
          <w:rFonts w:ascii="楷体" w:eastAsia="楷体" w:hAnsi="楷体" w:cs="宋体" w:hint="eastAsia"/>
          <w:color w:val="000000"/>
          <w:kern w:val="0"/>
          <w:szCs w:val="21"/>
        </w:rPr>
        <w:t>100万元、向任某</w:t>
      </w:r>
      <w:proofErr w:type="gramStart"/>
      <w:r w:rsidRPr="00AB7FDC">
        <w:rPr>
          <w:rFonts w:ascii="楷体" w:eastAsia="楷体" w:hAnsi="楷体" w:cs="宋体" w:hint="eastAsia"/>
          <w:color w:val="000000"/>
          <w:kern w:val="0"/>
          <w:szCs w:val="21"/>
        </w:rPr>
        <w:t>春支付</w:t>
      </w:r>
      <w:proofErr w:type="gramEnd"/>
      <w:r w:rsidRPr="00AB7FDC">
        <w:rPr>
          <w:rFonts w:ascii="楷体" w:eastAsia="楷体" w:hAnsi="楷体" w:cs="宋体" w:hint="eastAsia"/>
          <w:color w:val="000000"/>
          <w:kern w:val="0"/>
          <w:szCs w:val="21"/>
        </w:rPr>
        <w:t>利息37,833元、向任某春的下属朱某华银行账户转入88,383元，朱某华随后向孙咸明工商银行账户转入86,883元。</w:t>
      </w:r>
    </w:p>
    <w:p w:rsidR="00AB7FDC" w:rsidRPr="00AB7FDC" w:rsidRDefault="00AB7FDC" w:rsidP="00AB7FDC">
      <w:pPr>
        <w:widowControl/>
        <w:shd w:val="clear" w:color="auto" w:fill="FFFFFF"/>
        <w:spacing w:line="620" w:lineRule="atLeast"/>
        <w:ind w:firstLine="616"/>
        <w:jc w:val="left"/>
        <w:rPr>
          <w:rFonts w:ascii="微软雅黑" w:eastAsia="微软雅黑" w:hAnsi="微软雅黑" w:cs="宋体" w:hint="eastAsia"/>
          <w:color w:val="000000"/>
          <w:kern w:val="0"/>
          <w:sz w:val="24"/>
          <w:szCs w:val="24"/>
        </w:rPr>
      </w:pPr>
      <w:r w:rsidRPr="00AB7FDC">
        <w:rPr>
          <w:rFonts w:ascii="楷体" w:eastAsia="楷体" w:hAnsi="楷体" w:cs="宋体" w:hint="eastAsia"/>
          <w:b/>
          <w:bCs/>
          <w:color w:val="000000"/>
          <w:kern w:val="0"/>
          <w:sz w:val="24"/>
          <w:szCs w:val="24"/>
        </w:rPr>
        <w:t>（三）孙咸明上述交易行为明显异常</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Cs w:val="21"/>
        </w:rPr>
        <w:lastRenderedPageBreak/>
        <w:t>2018年1月7日孙咸明与内幕信息知情人周某海接触，1月9日“</w:t>
      </w:r>
      <w:r w:rsidRPr="00AB7FDC">
        <w:rPr>
          <w:rFonts w:ascii="楷体" w:eastAsia="楷体" w:hAnsi="楷体" w:cs="宋体" w:hint="eastAsia"/>
          <w:color w:val="000000"/>
          <w:kern w:val="0"/>
          <w:sz w:val="24"/>
          <w:szCs w:val="24"/>
        </w:rPr>
        <w:t>姚某芳</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证券账户开立，</w:t>
      </w:r>
      <w:r w:rsidRPr="00AB7FDC">
        <w:rPr>
          <w:rFonts w:ascii="楷体" w:eastAsia="楷体" w:hAnsi="楷体" w:cs="宋体" w:hint="eastAsia"/>
          <w:color w:val="000000"/>
          <w:kern w:val="0"/>
          <w:szCs w:val="21"/>
        </w:rPr>
        <w:t>1月10日证券账户转入资金100万，在1月10日、11日合计买入5.07万股“</w:t>
      </w:r>
      <w:r w:rsidRPr="00AB7FDC">
        <w:rPr>
          <w:rFonts w:ascii="楷体" w:eastAsia="楷体" w:hAnsi="楷体" w:cs="宋体" w:hint="eastAsia"/>
          <w:color w:val="000000"/>
          <w:kern w:val="0"/>
          <w:sz w:val="24"/>
          <w:szCs w:val="24"/>
        </w:rPr>
        <w:t>维力医疗</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w:t>
      </w:r>
      <w:r w:rsidRPr="00AB7FDC">
        <w:rPr>
          <w:rFonts w:ascii="楷体" w:eastAsia="楷体" w:hAnsi="楷体" w:cs="宋体" w:hint="eastAsia"/>
          <w:color w:val="000000"/>
          <w:kern w:val="0"/>
          <w:szCs w:val="21"/>
        </w:rPr>
        <w:t>1月13日维力医疗发布停牌公告。</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 w:val="24"/>
          <w:szCs w:val="24"/>
        </w:rPr>
        <w:t>孙咸明本次交易之前无个人证券账户，在与周某海接触后突击借用</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姚某芳</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证券账户并高息借入资金</w:t>
      </w:r>
      <w:r w:rsidRPr="00AB7FDC">
        <w:rPr>
          <w:rFonts w:ascii="楷体" w:eastAsia="楷体" w:hAnsi="楷体" w:cs="宋体" w:hint="eastAsia"/>
          <w:color w:val="000000"/>
          <w:kern w:val="0"/>
          <w:szCs w:val="21"/>
        </w:rPr>
        <w:t>100万元买入“</w:t>
      </w:r>
      <w:r w:rsidRPr="00AB7FDC">
        <w:rPr>
          <w:rFonts w:ascii="楷体" w:eastAsia="楷体" w:hAnsi="楷体" w:cs="宋体" w:hint="eastAsia"/>
          <w:color w:val="000000"/>
          <w:kern w:val="0"/>
          <w:sz w:val="24"/>
          <w:szCs w:val="24"/>
        </w:rPr>
        <w:t>维力医疗</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，与其惯常的投资习惯明显背离；</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姚某芳</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证券账户买入</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维力医疗</w:t>
      </w:r>
      <w:r w:rsidRPr="00AB7FDC">
        <w:rPr>
          <w:rFonts w:ascii="楷体" w:eastAsia="楷体" w:hAnsi="楷体" w:cs="宋体" w:hint="eastAsia"/>
          <w:color w:val="000000"/>
          <w:kern w:val="0"/>
          <w:szCs w:val="21"/>
        </w:rPr>
        <w:t>”901,927元，占账户期末持股90.42%，账户交易集中度高；“</w:t>
      </w:r>
      <w:r w:rsidRPr="00AB7FDC">
        <w:rPr>
          <w:rFonts w:ascii="楷体" w:eastAsia="楷体" w:hAnsi="楷体" w:cs="宋体" w:hint="eastAsia"/>
          <w:color w:val="000000"/>
          <w:kern w:val="0"/>
          <w:sz w:val="24"/>
          <w:szCs w:val="24"/>
        </w:rPr>
        <w:t>姚某芳</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证券账户买入</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维力医疗</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前夕，维力医疗没有公开披露的利好性重大信息，账户突击买入并集中持有</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维力医疗</w:t>
      </w:r>
      <w:r w:rsidRPr="00AB7FDC">
        <w:rPr>
          <w:rFonts w:ascii="楷体" w:eastAsia="楷体" w:hAnsi="楷体" w:cs="宋体" w:hint="eastAsia"/>
          <w:color w:val="000000"/>
          <w:kern w:val="0"/>
          <w:szCs w:val="21"/>
        </w:rPr>
        <w:t>”</w:t>
      </w:r>
      <w:r w:rsidRPr="00AB7FDC">
        <w:rPr>
          <w:rFonts w:ascii="楷体" w:eastAsia="楷体" w:hAnsi="楷体" w:cs="宋体" w:hint="eastAsia"/>
          <w:color w:val="000000"/>
          <w:kern w:val="0"/>
          <w:sz w:val="24"/>
          <w:szCs w:val="24"/>
        </w:rPr>
        <w:t>的行为明显异常。</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 w:val="24"/>
          <w:szCs w:val="24"/>
        </w:rPr>
        <w:t>上述违法事实，有公司会议记录及材料、公司公告、相关人员询问笔录、当事人通讯记录、账户交易</w:t>
      </w:r>
      <w:r w:rsidRPr="00AB7FDC">
        <w:rPr>
          <w:rFonts w:ascii="楷体" w:eastAsia="楷体" w:hAnsi="楷体" w:cs="宋体" w:hint="eastAsia"/>
          <w:color w:val="000000"/>
          <w:kern w:val="0"/>
          <w:szCs w:val="21"/>
        </w:rPr>
        <w:t>IP及MAC地址、涉案证券账户资料、银行流水等证据证明，足以认定。</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 w:val="24"/>
          <w:szCs w:val="24"/>
        </w:rPr>
        <w:t>我会认为，孙咸明在内幕信息公开前与内幕信息知情人联络、接触，其证券交易活动与内幕信息高度吻合，其行为违反了《证券法》第七十三条和第七十六条第一款的规定，构成《证券法》第二百零二条所述内幕交易行为。</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 w:val="24"/>
          <w:szCs w:val="24"/>
        </w:rPr>
        <w:t>根据当事人违法行为的事实、性质、情节与社会危害程度，依据《证券法》第二百零二条，我会决定：没收孙咸明违法所得</w:t>
      </w:r>
      <w:r w:rsidRPr="00AB7FDC">
        <w:rPr>
          <w:rFonts w:ascii="楷体" w:eastAsia="楷体" w:hAnsi="楷体" w:cs="宋体" w:hint="eastAsia"/>
          <w:color w:val="000000"/>
          <w:kern w:val="0"/>
          <w:szCs w:val="21"/>
        </w:rPr>
        <w:t>130,916.85元，并处以392,750.55元罚款。</w:t>
      </w:r>
    </w:p>
    <w:p w:rsidR="00AB7FDC" w:rsidRPr="00AB7FDC" w:rsidRDefault="00AB7FDC" w:rsidP="00AB7FDC">
      <w:pPr>
        <w:widowControl/>
        <w:shd w:val="clear" w:color="auto" w:fill="FFFFFF"/>
        <w:spacing w:line="620" w:lineRule="atLeast"/>
        <w:ind w:firstLine="436"/>
        <w:jc w:val="left"/>
        <w:rPr>
          <w:rFonts w:ascii="楷体" w:eastAsia="楷体" w:hAnsi="楷体" w:cs="宋体" w:hint="eastAsia"/>
          <w:color w:val="000000"/>
          <w:kern w:val="0"/>
          <w:sz w:val="24"/>
          <w:szCs w:val="24"/>
        </w:rPr>
      </w:pPr>
      <w:r w:rsidRPr="00AB7FDC">
        <w:rPr>
          <w:rFonts w:ascii="楷体" w:eastAsia="楷体" w:hAnsi="楷体" w:cs="宋体" w:hint="eastAsia"/>
          <w:color w:val="000000"/>
          <w:kern w:val="0"/>
          <w:sz w:val="24"/>
          <w:szCs w:val="24"/>
        </w:rPr>
        <w:t>上述当事人应自收到本处罚决定书之日起</w:t>
      </w:r>
      <w:r w:rsidRPr="00AB7FDC">
        <w:rPr>
          <w:rFonts w:ascii="楷体" w:eastAsia="楷体" w:hAnsi="楷体" w:cs="宋体" w:hint="eastAsia"/>
          <w:color w:val="000000"/>
          <w:kern w:val="0"/>
          <w:szCs w:val="21"/>
        </w:rPr>
        <w:t>15日内，将罚没款汇交中国证券监督管理委员会（财政</w:t>
      </w:r>
      <w:proofErr w:type="gramStart"/>
      <w:r w:rsidRPr="00AB7FDC">
        <w:rPr>
          <w:rFonts w:ascii="楷体" w:eastAsia="楷体" w:hAnsi="楷体" w:cs="宋体" w:hint="eastAsia"/>
          <w:color w:val="000000"/>
          <w:kern w:val="0"/>
          <w:szCs w:val="21"/>
        </w:rPr>
        <w:t>汇缴专户</w:t>
      </w:r>
      <w:proofErr w:type="gramEnd"/>
      <w:r w:rsidRPr="00AB7FDC">
        <w:rPr>
          <w:rFonts w:ascii="楷体" w:eastAsia="楷体" w:hAnsi="楷体" w:cs="宋体" w:hint="eastAsia"/>
          <w:color w:val="000000"/>
          <w:kern w:val="0"/>
          <w:szCs w:val="21"/>
        </w:rPr>
        <w:t>）开户银行：中信银行北京分行营业部，账号：7111010189800000162，由该行直接上缴国库，并将注有当事人名称的付款凭证复印件送中国证券监督管理委员会稽查局备案。当事人如果对本处罚决定不服，可在收到本处罚决定</w:t>
      </w:r>
      <w:r w:rsidRPr="00AB7FDC">
        <w:rPr>
          <w:rFonts w:ascii="楷体" w:eastAsia="楷体" w:hAnsi="楷体" w:cs="宋体" w:hint="eastAsia"/>
          <w:color w:val="000000"/>
          <w:kern w:val="0"/>
          <w:szCs w:val="21"/>
        </w:rPr>
        <w:lastRenderedPageBreak/>
        <w:t>书之日起60日内向中国证券监督管理委员会申请行政复议，也可在收到本处罚决定书之日起6个月内直接向有管辖权的人民法院提起行政诉讼。复议和诉讼期间，上述决定不停止执行。</w:t>
      </w:r>
    </w:p>
    <w:p w:rsidR="00AB7FDC" w:rsidRPr="00AB7FDC" w:rsidRDefault="00AB7FDC" w:rsidP="00AB7FDC">
      <w:pPr>
        <w:widowControl/>
        <w:shd w:val="clear" w:color="auto" w:fill="FFFFFF"/>
        <w:spacing w:line="560" w:lineRule="atLeast"/>
        <w:jc w:val="left"/>
        <w:rPr>
          <w:rFonts w:ascii="楷体" w:eastAsia="楷体" w:hAnsi="楷体" w:cs="宋体" w:hint="eastAsia"/>
          <w:color w:val="000000"/>
          <w:kern w:val="0"/>
          <w:sz w:val="24"/>
          <w:szCs w:val="24"/>
        </w:rPr>
      </w:pPr>
      <w:r w:rsidRPr="00AB7FDC">
        <w:rPr>
          <w:rFonts w:ascii="Calibri" w:eastAsia="楷体" w:hAnsi="Calibri" w:cs="Calibri"/>
          <w:color w:val="000000"/>
          <w:kern w:val="0"/>
          <w:sz w:val="24"/>
          <w:szCs w:val="24"/>
        </w:rPr>
        <w:t> </w:t>
      </w:r>
    </w:p>
    <w:p w:rsidR="00AB7FDC" w:rsidRPr="00AB7FDC" w:rsidRDefault="00AB7FDC" w:rsidP="00AB7FDC">
      <w:pPr>
        <w:widowControl/>
        <w:shd w:val="clear" w:color="auto" w:fill="FFFFFF"/>
        <w:spacing w:line="560" w:lineRule="atLeast"/>
        <w:jc w:val="left"/>
        <w:rPr>
          <w:rFonts w:ascii="楷体" w:eastAsia="楷体" w:hAnsi="楷体" w:cs="宋体" w:hint="eastAsia"/>
          <w:color w:val="000000"/>
          <w:kern w:val="0"/>
          <w:sz w:val="24"/>
          <w:szCs w:val="24"/>
        </w:rPr>
      </w:pPr>
      <w:r w:rsidRPr="00AB7FDC">
        <w:rPr>
          <w:rFonts w:ascii="Calibri" w:eastAsia="楷体" w:hAnsi="Calibri" w:cs="Calibri"/>
          <w:color w:val="000000"/>
          <w:kern w:val="0"/>
          <w:sz w:val="24"/>
          <w:szCs w:val="24"/>
        </w:rPr>
        <w:t> </w:t>
      </w:r>
    </w:p>
    <w:p w:rsidR="00AB7FDC" w:rsidRPr="00AB7FDC" w:rsidRDefault="00AB7FDC" w:rsidP="00AB7FDC">
      <w:pPr>
        <w:widowControl/>
        <w:shd w:val="clear" w:color="auto" w:fill="FFFFFF"/>
        <w:spacing w:line="560" w:lineRule="atLeast"/>
        <w:jc w:val="left"/>
        <w:rPr>
          <w:rFonts w:ascii="楷体" w:eastAsia="楷体" w:hAnsi="楷体" w:cs="宋体" w:hint="eastAsia"/>
          <w:color w:val="000000"/>
          <w:kern w:val="0"/>
          <w:sz w:val="24"/>
          <w:szCs w:val="24"/>
        </w:rPr>
      </w:pPr>
      <w:r w:rsidRPr="00AB7FDC">
        <w:rPr>
          <w:rFonts w:ascii="Calibri" w:eastAsia="楷体" w:hAnsi="Calibri" w:cs="Calibri"/>
          <w:color w:val="000000"/>
          <w:kern w:val="0"/>
          <w:sz w:val="24"/>
          <w:szCs w:val="24"/>
        </w:rPr>
        <w:t> </w:t>
      </w:r>
    </w:p>
    <w:p w:rsidR="00AB7FDC" w:rsidRPr="00AB7FDC" w:rsidRDefault="00AB7FDC" w:rsidP="00AB7FDC">
      <w:pPr>
        <w:widowControl/>
        <w:shd w:val="clear" w:color="auto" w:fill="FFFFFF"/>
        <w:spacing w:line="560" w:lineRule="atLeast"/>
        <w:jc w:val="left"/>
        <w:rPr>
          <w:rFonts w:ascii="楷体" w:eastAsia="楷体" w:hAnsi="楷体" w:cs="宋体" w:hint="eastAsia"/>
          <w:color w:val="000000"/>
          <w:kern w:val="0"/>
          <w:sz w:val="24"/>
          <w:szCs w:val="24"/>
        </w:rPr>
      </w:pPr>
      <w:r w:rsidRPr="00AB7FDC">
        <w:rPr>
          <w:rFonts w:ascii="Calibri" w:eastAsia="楷体" w:hAnsi="Calibri" w:cs="Calibri"/>
          <w:color w:val="000000"/>
          <w:kern w:val="0"/>
          <w:sz w:val="24"/>
          <w:szCs w:val="24"/>
        </w:rPr>
        <w:t> </w:t>
      </w:r>
    </w:p>
    <w:p w:rsidR="00AB7FDC" w:rsidRPr="00AB7FDC" w:rsidRDefault="00AB7FDC" w:rsidP="00AB7FDC">
      <w:pPr>
        <w:widowControl/>
        <w:shd w:val="clear" w:color="auto" w:fill="FFFFFF"/>
        <w:wordWrap w:val="0"/>
        <w:spacing w:line="560" w:lineRule="atLeast"/>
        <w:jc w:val="right"/>
        <w:rPr>
          <w:rFonts w:ascii="楷体" w:eastAsia="楷体" w:hAnsi="楷体" w:cs="宋体" w:hint="eastAsia"/>
          <w:color w:val="000000"/>
          <w:kern w:val="0"/>
          <w:sz w:val="24"/>
          <w:szCs w:val="24"/>
        </w:rPr>
      </w:pPr>
      <w:r w:rsidRPr="00AB7FDC">
        <w:rPr>
          <w:rFonts w:ascii="楷体" w:eastAsia="楷体" w:hAnsi="楷体" w:cs="宋体" w:hint="eastAsia"/>
          <w:color w:val="000000"/>
          <w:kern w:val="0"/>
          <w:sz w:val="24"/>
          <w:szCs w:val="24"/>
        </w:rPr>
        <w:t>中国证监会</w:t>
      </w:r>
      <w:proofErr w:type="gramStart"/>
      <w:r w:rsidRPr="00AB7FDC">
        <w:rPr>
          <w:rFonts w:ascii="楷体" w:eastAsia="楷体" w:hAnsi="楷体" w:cs="宋体" w:hint="eastAsia"/>
          <w:color w:val="000000"/>
          <w:kern w:val="0"/>
          <w:szCs w:val="21"/>
        </w:rPr>
        <w:t xml:space="preserve">　　　　　</w:t>
      </w:r>
      <w:proofErr w:type="gramEnd"/>
      <w:r w:rsidRPr="00AB7FDC">
        <w:rPr>
          <w:rFonts w:ascii="Calibri" w:eastAsia="楷体" w:hAnsi="Calibri" w:cs="Calibri"/>
          <w:color w:val="000000"/>
          <w:kern w:val="0"/>
          <w:szCs w:val="21"/>
        </w:rPr>
        <w:t> </w:t>
      </w:r>
    </w:p>
    <w:p w:rsidR="00AB7FDC" w:rsidRPr="00AB7FDC" w:rsidRDefault="00AB7FDC" w:rsidP="00AB7FDC">
      <w:pPr>
        <w:widowControl/>
        <w:shd w:val="clear" w:color="auto" w:fill="FFFFFF"/>
        <w:wordWrap w:val="0"/>
        <w:spacing w:line="560" w:lineRule="atLeast"/>
        <w:jc w:val="right"/>
        <w:rPr>
          <w:rFonts w:ascii="楷体" w:eastAsia="楷体" w:hAnsi="楷体" w:cs="宋体" w:hint="eastAsia"/>
          <w:color w:val="000000"/>
          <w:kern w:val="0"/>
          <w:sz w:val="24"/>
          <w:szCs w:val="24"/>
        </w:rPr>
      </w:pPr>
      <w:r w:rsidRPr="00AB7FDC">
        <w:rPr>
          <w:rFonts w:ascii="楷体" w:eastAsia="楷体" w:hAnsi="楷体" w:cs="宋体" w:hint="eastAsia"/>
          <w:color w:val="000000"/>
          <w:kern w:val="0"/>
          <w:szCs w:val="21"/>
        </w:rPr>
        <w:t xml:space="preserve">2019年7月31日　　</w:t>
      </w:r>
      <w:proofErr w:type="gramStart"/>
      <w:r w:rsidRPr="00AB7FDC">
        <w:rPr>
          <w:rFonts w:ascii="楷体" w:eastAsia="楷体" w:hAnsi="楷体" w:cs="宋体" w:hint="eastAsia"/>
          <w:color w:val="000000"/>
          <w:kern w:val="0"/>
          <w:szCs w:val="21"/>
        </w:rPr>
        <w:t xml:space="preserve">　　</w:t>
      </w:r>
      <w:proofErr w:type="gramEnd"/>
    </w:p>
    <w:p w:rsidR="00AB7FDC" w:rsidRPr="00AB7FDC" w:rsidRDefault="00AB7FDC" w:rsidP="00AB7FD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AB7FDC" w:rsidRPr="00AB7FDC" w:rsidTr="00AB7FDC">
        <w:trPr>
          <w:tblCellSpacing w:w="15" w:type="dxa"/>
          <w:jc w:val="center"/>
        </w:trPr>
        <w:tc>
          <w:tcPr>
            <w:tcW w:w="900" w:type="dxa"/>
            <w:vAlign w:val="center"/>
            <w:hideMark/>
          </w:tcPr>
          <w:p w:rsidR="00AB7FDC" w:rsidRPr="00AB7FDC" w:rsidRDefault="00AB7FDC" w:rsidP="00AB7FDC">
            <w:pPr>
              <w:widowControl/>
              <w:jc w:val="left"/>
              <w:rPr>
                <w:rFonts w:ascii="宋体" w:eastAsia="宋体" w:hAnsi="宋体" w:cs="宋体" w:hint="eastAsia"/>
                <w:kern w:val="0"/>
                <w:sz w:val="18"/>
                <w:szCs w:val="18"/>
              </w:rPr>
            </w:pPr>
            <w:r w:rsidRPr="00AB7FDC">
              <w:rPr>
                <w:rFonts w:ascii="宋体" w:eastAsia="宋体" w:hAnsi="宋体" w:cs="宋体"/>
                <w:kern w:val="0"/>
                <w:sz w:val="18"/>
                <w:szCs w:val="18"/>
              </w:rPr>
              <w:t> </w:t>
            </w:r>
          </w:p>
        </w:tc>
        <w:tc>
          <w:tcPr>
            <w:tcW w:w="1200" w:type="dxa"/>
            <w:vAlign w:val="center"/>
            <w:hideMark/>
          </w:tcPr>
          <w:p w:rsidR="00AB7FDC" w:rsidRPr="00AB7FDC" w:rsidRDefault="00AB7FDC" w:rsidP="00AB7FDC">
            <w:pPr>
              <w:widowControl/>
              <w:jc w:val="left"/>
              <w:rPr>
                <w:rFonts w:ascii="宋体" w:eastAsia="宋体" w:hAnsi="宋体" w:cs="宋体"/>
                <w:kern w:val="0"/>
                <w:sz w:val="18"/>
                <w:szCs w:val="18"/>
              </w:rPr>
            </w:pPr>
            <w:r w:rsidRPr="00AB7FDC">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B7FDC" w:rsidRPr="00AB7FDC" w:rsidRDefault="00AB7FDC" w:rsidP="00AB7FDC">
            <w:pPr>
              <w:widowControl/>
              <w:jc w:val="left"/>
              <w:rPr>
                <w:rFonts w:ascii="宋体" w:eastAsia="宋体" w:hAnsi="宋体" w:cs="宋体"/>
                <w:kern w:val="0"/>
                <w:sz w:val="18"/>
                <w:szCs w:val="18"/>
              </w:rPr>
            </w:pPr>
            <w:r w:rsidRPr="00AB7FDC">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B7FDC" w:rsidRPr="00AB7FDC" w:rsidRDefault="00AB7FDC" w:rsidP="00AB7FDC">
            <w:pPr>
              <w:widowControl/>
              <w:jc w:val="left"/>
              <w:rPr>
                <w:rFonts w:ascii="宋体" w:eastAsia="宋体" w:hAnsi="宋体" w:cs="宋体"/>
                <w:kern w:val="0"/>
                <w:sz w:val="18"/>
                <w:szCs w:val="18"/>
              </w:rPr>
            </w:pPr>
            <w:r w:rsidRPr="00AB7FDC">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AB7FDC" w:rsidRPr="00AB7FDC" w:rsidRDefault="00AB7FDC" w:rsidP="00AB7FDC">
      <w:pPr>
        <w:widowControl/>
        <w:jc w:val="center"/>
        <w:rPr>
          <w:rFonts w:ascii="微软雅黑" w:eastAsia="微软雅黑" w:hAnsi="微软雅黑" w:cs="宋体"/>
          <w:color w:val="515151"/>
          <w:kern w:val="0"/>
          <w:sz w:val="18"/>
          <w:szCs w:val="18"/>
        </w:rPr>
      </w:pPr>
      <w:hyperlink r:id="rId11" w:tgtFrame="_blank" w:history="1">
        <w:r w:rsidRPr="00AB7FDC">
          <w:rPr>
            <w:rFonts w:ascii="微软雅黑" w:eastAsia="微软雅黑" w:hAnsi="微软雅黑" w:cs="宋体" w:hint="eastAsia"/>
            <w:color w:val="0000FF"/>
            <w:kern w:val="0"/>
            <w:sz w:val="18"/>
            <w:szCs w:val="18"/>
            <w:u w:val="single"/>
          </w:rPr>
          <w:t>关于我们</w:t>
        </w:r>
      </w:hyperlink>
      <w:r w:rsidRPr="00AB7FDC">
        <w:rPr>
          <w:rFonts w:ascii="微软雅黑" w:eastAsia="微软雅黑" w:hAnsi="微软雅黑" w:cs="宋体" w:hint="eastAsia"/>
          <w:color w:val="515151"/>
          <w:kern w:val="0"/>
          <w:sz w:val="18"/>
          <w:szCs w:val="18"/>
        </w:rPr>
        <w:t> - </w:t>
      </w:r>
      <w:hyperlink r:id="rId12" w:tgtFrame="_blank" w:history="1">
        <w:r w:rsidRPr="00AB7FDC">
          <w:rPr>
            <w:rFonts w:ascii="微软雅黑" w:eastAsia="微软雅黑" w:hAnsi="微软雅黑" w:cs="宋体" w:hint="eastAsia"/>
            <w:color w:val="0000FF"/>
            <w:kern w:val="0"/>
            <w:sz w:val="18"/>
            <w:szCs w:val="18"/>
            <w:u w:val="single"/>
          </w:rPr>
          <w:t>法律声明</w:t>
        </w:r>
      </w:hyperlink>
      <w:r w:rsidRPr="00AB7FDC">
        <w:rPr>
          <w:rFonts w:ascii="微软雅黑" w:eastAsia="微软雅黑" w:hAnsi="微软雅黑" w:cs="宋体" w:hint="eastAsia"/>
          <w:color w:val="515151"/>
          <w:kern w:val="0"/>
          <w:sz w:val="18"/>
          <w:szCs w:val="18"/>
        </w:rPr>
        <w:t> - </w:t>
      </w:r>
      <w:hyperlink r:id="rId13" w:tgtFrame="_blank" w:history="1">
        <w:r w:rsidRPr="00AB7FDC">
          <w:rPr>
            <w:rFonts w:ascii="微软雅黑" w:eastAsia="微软雅黑" w:hAnsi="微软雅黑" w:cs="宋体" w:hint="eastAsia"/>
            <w:color w:val="0000FF"/>
            <w:kern w:val="0"/>
            <w:sz w:val="18"/>
            <w:szCs w:val="18"/>
            <w:u w:val="single"/>
          </w:rPr>
          <w:t>联系我们</w:t>
        </w:r>
      </w:hyperlink>
    </w:p>
    <w:p w:rsidR="00AB7FDC" w:rsidRPr="00AB7FDC" w:rsidRDefault="00AB7FDC" w:rsidP="00AB7FDC">
      <w:pPr>
        <w:widowControl/>
        <w:jc w:val="center"/>
        <w:rPr>
          <w:rFonts w:ascii="微软雅黑" w:eastAsia="微软雅黑" w:hAnsi="微软雅黑" w:cs="宋体" w:hint="eastAsia"/>
          <w:color w:val="515151"/>
          <w:kern w:val="0"/>
          <w:sz w:val="18"/>
          <w:szCs w:val="18"/>
        </w:rPr>
      </w:pPr>
      <w:r w:rsidRPr="00AB7FDC">
        <w:rPr>
          <w:rFonts w:ascii="微软雅黑" w:eastAsia="微软雅黑" w:hAnsi="微软雅黑" w:cs="宋体" w:hint="eastAsia"/>
          <w:color w:val="515151"/>
          <w:kern w:val="0"/>
          <w:sz w:val="18"/>
          <w:szCs w:val="18"/>
        </w:rPr>
        <w:t>版权所有：中国证券监督管理委员会 京ICP备 05035542号</w:t>
      </w:r>
    </w:p>
    <w:p w:rsidR="00AB7FDC" w:rsidRPr="00AB7FDC" w:rsidRDefault="00AB7FDC" w:rsidP="00AB7FDC">
      <w:pPr>
        <w:widowControl/>
        <w:jc w:val="center"/>
        <w:rPr>
          <w:rFonts w:ascii="微软雅黑" w:eastAsia="微软雅黑" w:hAnsi="微软雅黑" w:cs="宋体" w:hint="eastAsia"/>
          <w:color w:val="515151"/>
          <w:kern w:val="0"/>
          <w:sz w:val="18"/>
          <w:szCs w:val="18"/>
        </w:rPr>
      </w:pPr>
      <w:r w:rsidRPr="00AB7FDC">
        <w:rPr>
          <w:rFonts w:ascii="微软雅黑" w:eastAsia="微软雅黑" w:hAnsi="微软雅黑" w:cs="宋体" w:hint="eastAsia"/>
          <w:color w:val="515151"/>
          <w:kern w:val="0"/>
          <w:sz w:val="18"/>
          <w:szCs w:val="18"/>
        </w:rPr>
        <w:t>地址：北京市西城区金融大街19号富凯大厦A座 邮编：100033</w:t>
      </w:r>
    </w:p>
    <w:p w:rsidR="00AB7FDC" w:rsidRPr="00AB7FDC" w:rsidRDefault="00AB7FDC" w:rsidP="00AB7FDC">
      <w:pPr>
        <w:widowControl/>
        <w:jc w:val="center"/>
        <w:rPr>
          <w:rFonts w:ascii="微软雅黑" w:eastAsia="微软雅黑" w:hAnsi="微软雅黑" w:cs="宋体" w:hint="eastAsia"/>
          <w:color w:val="515151"/>
          <w:kern w:val="0"/>
          <w:sz w:val="18"/>
          <w:szCs w:val="18"/>
        </w:rPr>
      </w:pPr>
      <w:r w:rsidRPr="00AB7FDC">
        <w:rPr>
          <w:rFonts w:ascii="微软雅黑" w:eastAsia="微软雅黑" w:hAnsi="微软雅黑" w:cs="宋体" w:hint="eastAsia"/>
          <w:color w:val="515151"/>
          <w:kern w:val="0"/>
          <w:sz w:val="18"/>
          <w:szCs w:val="18"/>
        </w:rPr>
        <w:t>建议使用IE5.5以上浏览器，分辨率1024*768</w:t>
      </w:r>
    </w:p>
    <w:p w:rsidR="00F71849" w:rsidRPr="00AB7FDC" w:rsidRDefault="00F71849"/>
    <w:sectPr w:rsidR="00F71849" w:rsidRPr="00AB7F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FDC"/>
    <w:rsid w:val="00AB7FDC"/>
    <w:rsid w:val="00F71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FB226-1AE3-4DBE-A686-57583A82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7FD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B7FDC"/>
    <w:rPr>
      <w:b/>
      <w:bCs/>
    </w:rPr>
  </w:style>
  <w:style w:type="character" w:styleId="a5">
    <w:name w:val="Hyperlink"/>
    <w:basedOn w:val="a0"/>
    <w:uiPriority w:val="99"/>
    <w:semiHidden/>
    <w:unhideWhenUsed/>
    <w:rsid w:val="00AB7F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57997">
      <w:bodyDiv w:val="1"/>
      <w:marLeft w:val="0"/>
      <w:marRight w:val="0"/>
      <w:marTop w:val="0"/>
      <w:marBottom w:val="0"/>
      <w:divBdr>
        <w:top w:val="none" w:sz="0" w:space="0" w:color="auto"/>
        <w:left w:val="none" w:sz="0" w:space="0" w:color="auto"/>
        <w:bottom w:val="none" w:sz="0" w:space="0" w:color="auto"/>
        <w:right w:val="none" w:sz="0" w:space="0" w:color="auto"/>
      </w:divBdr>
      <w:divsChild>
        <w:div w:id="425806076">
          <w:marLeft w:val="0"/>
          <w:marRight w:val="0"/>
          <w:marTop w:val="150"/>
          <w:marBottom w:val="150"/>
          <w:divBdr>
            <w:top w:val="none" w:sz="0" w:space="0" w:color="auto"/>
            <w:left w:val="none" w:sz="0" w:space="0" w:color="auto"/>
            <w:bottom w:val="none" w:sz="0" w:space="0" w:color="auto"/>
            <w:right w:val="none" w:sz="0" w:space="0" w:color="auto"/>
          </w:divBdr>
        </w:div>
        <w:div w:id="7761371">
          <w:marLeft w:val="0"/>
          <w:marRight w:val="0"/>
          <w:marTop w:val="0"/>
          <w:marBottom w:val="0"/>
          <w:divBdr>
            <w:top w:val="single" w:sz="6" w:space="8" w:color="B5B5B5"/>
            <w:left w:val="single" w:sz="6" w:space="0" w:color="B5B5B5"/>
            <w:bottom w:val="single" w:sz="6" w:space="8" w:color="B5B5B5"/>
            <w:right w:val="single" w:sz="6" w:space="0" w:color="B5B5B5"/>
          </w:divBdr>
          <w:divsChild>
            <w:div w:id="2077895628">
              <w:marLeft w:val="0"/>
              <w:marRight w:val="0"/>
              <w:marTop w:val="0"/>
              <w:marBottom w:val="0"/>
              <w:divBdr>
                <w:top w:val="none" w:sz="0" w:space="0" w:color="auto"/>
                <w:left w:val="none" w:sz="0" w:space="0" w:color="auto"/>
                <w:bottom w:val="none" w:sz="0" w:space="0" w:color="auto"/>
                <w:right w:val="none" w:sz="0" w:space="0" w:color="auto"/>
              </w:divBdr>
            </w:div>
            <w:div w:id="1704555931">
              <w:marLeft w:val="0"/>
              <w:marRight w:val="0"/>
              <w:marTop w:val="0"/>
              <w:marBottom w:val="0"/>
              <w:divBdr>
                <w:top w:val="none" w:sz="0" w:space="0" w:color="auto"/>
                <w:left w:val="none" w:sz="0" w:space="0" w:color="auto"/>
                <w:bottom w:val="none" w:sz="0" w:space="0" w:color="auto"/>
                <w:right w:val="none" w:sz="0" w:space="0" w:color="auto"/>
              </w:divBdr>
              <w:divsChild>
                <w:div w:id="1195121385">
                  <w:marLeft w:val="0"/>
                  <w:marRight w:val="0"/>
                  <w:marTop w:val="0"/>
                  <w:marBottom w:val="0"/>
                  <w:divBdr>
                    <w:top w:val="none" w:sz="0" w:space="0" w:color="auto"/>
                    <w:left w:val="none" w:sz="0" w:space="0" w:color="auto"/>
                    <w:bottom w:val="none" w:sz="0" w:space="0" w:color="auto"/>
                    <w:right w:val="none" w:sz="0" w:space="0" w:color="auto"/>
                  </w:divBdr>
                </w:div>
                <w:div w:id="1760787991">
                  <w:marLeft w:val="0"/>
                  <w:marRight w:val="0"/>
                  <w:marTop w:val="0"/>
                  <w:marBottom w:val="0"/>
                  <w:divBdr>
                    <w:top w:val="none" w:sz="0" w:space="0" w:color="auto"/>
                    <w:left w:val="none" w:sz="0" w:space="0" w:color="auto"/>
                    <w:bottom w:val="none" w:sz="0" w:space="0" w:color="auto"/>
                    <w:right w:val="none" w:sz="0" w:space="0" w:color="auto"/>
                  </w:divBdr>
                </w:div>
                <w:div w:id="1914966196">
                  <w:marLeft w:val="0"/>
                  <w:marRight w:val="0"/>
                  <w:marTop w:val="0"/>
                  <w:marBottom w:val="0"/>
                  <w:divBdr>
                    <w:top w:val="none" w:sz="0" w:space="0" w:color="auto"/>
                    <w:left w:val="none" w:sz="0" w:space="0" w:color="auto"/>
                    <w:bottom w:val="none" w:sz="0" w:space="0" w:color="auto"/>
                    <w:right w:val="none" w:sz="0" w:space="0" w:color="auto"/>
                  </w:divBdr>
                </w:div>
                <w:div w:id="1200238441">
                  <w:marLeft w:val="0"/>
                  <w:marRight w:val="0"/>
                  <w:marTop w:val="0"/>
                  <w:marBottom w:val="0"/>
                  <w:divBdr>
                    <w:top w:val="none" w:sz="0" w:space="0" w:color="auto"/>
                    <w:left w:val="none" w:sz="0" w:space="0" w:color="auto"/>
                    <w:bottom w:val="none" w:sz="0" w:space="0" w:color="auto"/>
                    <w:right w:val="none" w:sz="0" w:space="0" w:color="auto"/>
                  </w:divBdr>
                </w:div>
                <w:div w:id="1477379819">
                  <w:marLeft w:val="0"/>
                  <w:marRight w:val="0"/>
                  <w:marTop w:val="0"/>
                  <w:marBottom w:val="0"/>
                  <w:divBdr>
                    <w:top w:val="none" w:sz="0" w:space="0" w:color="auto"/>
                    <w:left w:val="none" w:sz="0" w:space="0" w:color="auto"/>
                    <w:bottom w:val="none" w:sz="0" w:space="0" w:color="auto"/>
                    <w:right w:val="none" w:sz="0" w:space="0" w:color="auto"/>
                  </w:divBdr>
                </w:div>
              </w:divsChild>
            </w:div>
            <w:div w:id="637297624">
              <w:marLeft w:val="0"/>
              <w:marRight w:val="0"/>
              <w:marTop w:val="120"/>
              <w:marBottom w:val="120"/>
              <w:divBdr>
                <w:top w:val="none" w:sz="0" w:space="0" w:color="auto"/>
                <w:left w:val="none" w:sz="0" w:space="0" w:color="auto"/>
                <w:bottom w:val="none" w:sz="0" w:space="0" w:color="auto"/>
                <w:right w:val="none" w:sz="0" w:space="0" w:color="auto"/>
              </w:divBdr>
            </w:div>
          </w:divsChild>
        </w:div>
        <w:div w:id="1507482504">
          <w:marLeft w:val="0"/>
          <w:marRight w:val="0"/>
          <w:marTop w:val="120"/>
          <w:marBottom w:val="0"/>
          <w:divBdr>
            <w:top w:val="none" w:sz="0" w:space="0" w:color="auto"/>
            <w:left w:val="none" w:sz="0" w:space="0" w:color="auto"/>
            <w:bottom w:val="none" w:sz="0" w:space="0" w:color="auto"/>
            <w:right w:val="none" w:sz="0" w:space="0" w:color="auto"/>
          </w:divBdr>
          <w:divsChild>
            <w:div w:id="228659242">
              <w:marLeft w:val="0"/>
              <w:marRight w:val="0"/>
              <w:marTop w:val="60"/>
              <w:marBottom w:val="0"/>
              <w:divBdr>
                <w:top w:val="none" w:sz="0" w:space="0" w:color="auto"/>
                <w:left w:val="none" w:sz="0" w:space="0" w:color="auto"/>
                <w:bottom w:val="none" w:sz="0" w:space="0" w:color="auto"/>
                <w:right w:val="none" w:sz="0" w:space="0" w:color="auto"/>
              </w:divBdr>
            </w:div>
            <w:div w:id="716126472">
              <w:marLeft w:val="0"/>
              <w:marRight w:val="0"/>
              <w:marTop w:val="60"/>
              <w:marBottom w:val="0"/>
              <w:divBdr>
                <w:top w:val="none" w:sz="0" w:space="0" w:color="auto"/>
                <w:left w:val="none" w:sz="0" w:space="0" w:color="auto"/>
                <w:bottom w:val="none" w:sz="0" w:space="0" w:color="auto"/>
                <w:right w:val="none" w:sz="0" w:space="0" w:color="auto"/>
              </w:divBdr>
            </w:div>
            <w:div w:id="211769516">
              <w:marLeft w:val="0"/>
              <w:marRight w:val="0"/>
              <w:marTop w:val="60"/>
              <w:marBottom w:val="0"/>
              <w:divBdr>
                <w:top w:val="none" w:sz="0" w:space="0" w:color="auto"/>
                <w:left w:val="none" w:sz="0" w:space="0" w:color="auto"/>
                <w:bottom w:val="none" w:sz="0" w:space="0" w:color="auto"/>
                <w:right w:val="none" w:sz="0" w:space="0" w:color="auto"/>
              </w:divBdr>
            </w:div>
            <w:div w:id="16642336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9/t20190912_36185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2020-02-13T15:30:00Z</dcterms:created>
  <dcterms:modified xsi:type="dcterms:W3CDTF">2020-02-13T15:31:00Z</dcterms:modified>
</cp:coreProperties>
</file>