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A5F" w:rsidRPr="00324A5F" w:rsidRDefault="00324A5F" w:rsidP="00324A5F">
      <w:pPr>
        <w:widowControl/>
        <w:jc w:val="center"/>
        <w:rPr>
          <w:rFonts w:ascii="微软雅黑" w:eastAsia="微软雅黑" w:hAnsi="微软雅黑" w:cs="宋体"/>
          <w:color w:val="000000"/>
          <w:kern w:val="0"/>
          <w:sz w:val="18"/>
          <w:szCs w:val="18"/>
        </w:rPr>
      </w:pPr>
      <w:r w:rsidRPr="00324A5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324A5F" w:rsidRPr="00324A5F" w:rsidTr="00324A5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24A5F" w:rsidRPr="00324A5F">
              <w:trPr>
                <w:tblCellSpacing w:w="0" w:type="dxa"/>
              </w:trPr>
              <w:tc>
                <w:tcPr>
                  <w:tcW w:w="2500" w:type="pct"/>
                  <w:tcMar>
                    <w:top w:w="30" w:type="dxa"/>
                    <w:left w:w="30" w:type="dxa"/>
                    <w:bottom w:w="30" w:type="dxa"/>
                    <w:right w:w="30" w:type="dxa"/>
                  </w:tcMar>
                  <w:hideMark/>
                </w:tcPr>
                <w:p w:rsidR="00324A5F" w:rsidRPr="00324A5F" w:rsidRDefault="00324A5F" w:rsidP="00324A5F">
                  <w:pPr>
                    <w:widowControl/>
                    <w:jc w:val="left"/>
                    <w:rPr>
                      <w:rFonts w:ascii="宋体" w:eastAsia="宋体" w:hAnsi="宋体" w:cs="宋体" w:hint="eastAsia"/>
                      <w:color w:val="686868"/>
                      <w:kern w:val="0"/>
                      <w:sz w:val="18"/>
                      <w:szCs w:val="18"/>
                    </w:rPr>
                  </w:pPr>
                  <w:r w:rsidRPr="00324A5F">
                    <w:rPr>
                      <w:rFonts w:ascii="宋体" w:eastAsia="宋体" w:hAnsi="宋体" w:cs="宋体"/>
                      <w:b/>
                      <w:bCs/>
                      <w:color w:val="686868"/>
                      <w:kern w:val="0"/>
                      <w:sz w:val="18"/>
                      <w:szCs w:val="18"/>
                    </w:rPr>
                    <w:t>索 引 号:</w:t>
                  </w:r>
                  <w:r w:rsidRPr="00324A5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324A5F" w:rsidRPr="00324A5F" w:rsidRDefault="00324A5F" w:rsidP="00324A5F">
                  <w:pPr>
                    <w:widowControl/>
                    <w:jc w:val="left"/>
                    <w:rPr>
                      <w:rFonts w:ascii="宋体" w:eastAsia="宋体" w:hAnsi="宋体" w:cs="宋体"/>
                      <w:color w:val="686868"/>
                      <w:kern w:val="0"/>
                      <w:sz w:val="18"/>
                      <w:szCs w:val="18"/>
                    </w:rPr>
                  </w:pPr>
                  <w:r w:rsidRPr="00324A5F">
                    <w:rPr>
                      <w:rFonts w:ascii="宋体" w:eastAsia="宋体" w:hAnsi="宋体" w:cs="宋体"/>
                      <w:b/>
                      <w:bCs/>
                      <w:color w:val="686868"/>
                      <w:kern w:val="0"/>
                      <w:sz w:val="18"/>
                      <w:szCs w:val="18"/>
                    </w:rPr>
                    <w:t>分类:</w:t>
                  </w:r>
                  <w:r w:rsidRPr="00324A5F">
                    <w:rPr>
                      <w:rFonts w:ascii="宋体" w:eastAsia="宋体" w:hAnsi="宋体" w:cs="宋体"/>
                      <w:color w:val="686868"/>
                      <w:kern w:val="0"/>
                      <w:sz w:val="18"/>
                      <w:szCs w:val="18"/>
                    </w:rPr>
                    <w:t> 行政处罚 ; 行政处罚决定</w:t>
                  </w:r>
                </w:p>
              </w:tc>
            </w:tr>
          </w:tbl>
          <w:p w:rsidR="00324A5F" w:rsidRPr="00324A5F" w:rsidRDefault="00324A5F" w:rsidP="00324A5F">
            <w:pPr>
              <w:widowControl/>
              <w:jc w:val="left"/>
              <w:rPr>
                <w:rFonts w:ascii="宋体" w:eastAsia="宋体" w:hAnsi="宋体" w:cs="宋体"/>
                <w:color w:val="686868"/>
                <w:kern w:val="0"/>
                <w:sz w:val="18"/>
                <w:szCs w:val="18"/>
              </w:rPr>
            </w:pPr>
          </w:p>
        </w:tc>
      </w:tr>
      <w:tr w:rsidR="00324A5F" w:rsidRPr="00324A5F" w:rsidTr="00324A5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24A5F" w:rsidRPr="00324A5F">
              <w:trPr>
                <w:tblCellSpacing w:w="0" w:type="dxa"/>
              </w:trPr>
              <w:tc>
                <w:tcPr>
                  <w:tcW w:w="2500" w:type="pct"/>
                  <w:tcMar>
                    <w:top w:w="30" w:type="dxa"/>
                    <w:left w:w="30" w:type="dxa"/>
                    <w:bottom w:w="30" w:type="dxa"/>
                    <w:right w:w="30" w:type="dxa"/>
                  </w:tcMar>
                  <w:hideMark/>
                </w:tcPr>
                <w:p w:rsidR="00324A5F" w:rsidRPr="00324A5F" w:rsidRDefault="00324A5F" w:rsidP="00324A5F">
                  <w:pPr>
                    <w:widowControl/>
                    <w:jc w:val="left"/>
                    <w:rPr>
                      <w:rFonts w:ascii="宋体" w:eastAsia="宋体" w:hAnsi="宋体" w:cs="宋体"/>
                      <w:color w:val="686868"/>
                      <w:kern w:val="0"/>
                      <w:sz w:val="18"/>
                      <w:szCs w:val="18"/>
                    </w:rPr>
                  </w:pPr>
                  <w:r w:rsidRPr="00324A5F">
                    <w:rPr>
                      <w:rFonts w:ascii="宋体" w:eastAsia="宋体" w:hAnsi="宋体" w:cs="宋体"/>
                      <w:b/>
                      <w:bCs/>
                      <w:color w:val="686868"/>
                      <w:kern w:val="0"/>
                      <w:sz w:val="18"/>
                      <w:szCs w:val="18"/>
                    </w:rPr>
                    <w:t>发布机构:</w:t>
                  </w:r>
                  <w:r w:rsidRPr="00324A5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24A5F" w:rsidRPr="00324A5F" w:rsidRDefault="00324A5F" w:rsidP="00324A5F">
                  <w:pPr>
                    <w:widowControl/>
                    <w:jc w:val="left"/>
                    <w:rPr>
                      <w:rFonts w:ascii="宋体" w:eastAsia="宋体" w:hAnsi="宋体" w:cs="宋体"/>
                      <w:color w:val="686868"/>
                      <w:kern w:val="0"/>
                      <w:sz w:val="18"/>
                      <w:szCs w:val="18"/>
                    </w:rPr>
                  </w:pPr>
                  <w:r w:rsidRPr="00324A5F">
                    <w:rPr>
                      <w:rFonts w:ascii="宋体" w:eastAsia="宋体" w:hAnsi="宋体" w:cs="宋体"/>
                      <w:b/>
                      <w:bCs/>
                      <w:color w:val="686868"/>
                      <w:kern w:val="0"/>
                      <w:sz w:val="18"/>
                      <w:szCs w:val="18"/>
                    </w:rPr>
                    <w:t>发文日期:</w:t>
                  </w:r>
                  <w:r w:rsidRPr="00324A5F">
                    <w:rPr>
                      <w:rFonts w:ascii="宋体" w:eastAsia="宋体" w:hAnsi="宋体" w:cs="宋体"/>
                      <w:color w:val="686868"/>
                      <w:kern w:val="0"/>
                      <w:sz w:val="18"/>
                      <w:szCs w:val="18"/>
                    </w:rPr>
                    <w:t> 2019年08月30日</w:t>
                  </w:r>
                </w:p>
              </w:tc>
            </w:tr>
          </w:tbl>
          <w:p w:rsidR="00324A5F" w:rsidRPr="00324A5F" w:rsidRDefault="00324A5F" w:rsidP="00324A5F">
            <w:pPr>
              <w:widowControl/>
              <w:jc w:val="left"/>
              <w:rPr>
                <w:rFonts w:ascii="宋体" w:eastAsia="宋体" w:hAnsi="宋体" w:cs="宋体"/>
                <w:color w:val="686868"/>
                <w:kern w:val="0"/>
                <w:sz w:val="18"/>
                <w:szCs w:val="18"/>
              </w:rPr>
            </w:pPr>
          </w:p>
        </w:tc>
      </w:tr>
      <w:tr w:rsidR="00324A5F" w:rsidRPr="00324A5F" w:rsidTr="00324A5F">
        <w:trPr>
          <w:tblCellSpacing w:w="0" w:type="dxa"/>
        </w:trPr>
        <w:tc>
          <w:tcPr>
            <w:tcW w:w="0" w:type="auto"/>
            <w:tcMar>
              <w:top w:w="30" w:type="dxa"/>
              <w:left w:w="30" w:type="dxa"/>
              <w:bottom w:w="30" w:type="dxa"/>
              <w:right w:w="30" w:type="dxa"/>
            </w:tcMar>
            <w:hideMark/>
          </w:tcPr>
          <w:p w:rsidR="00324A5F" w:rsidRPr="00324A5F" w:rsidRDefault="00324A5F" w:rsidP="00324A5F">
            <w:pPr>
              <w:widowControl/>
              <w:jc w:val="left"/>
              <w:rPr>
                <w:rFonts w:ascii="宋体" w:eastAsia="宋体" w:hAnsi="宋体" w:cs="宋体"/>
                <w:color w:val="686868"/>
                <w:kern w:val="0"/>
                <w:sz w:val="18"/>
                <w:szCs w:val="18"/>
              </w:rPr>
            </w:pPr>
            <w:r w:rsidRPr="00324A5F">
              <w:rPr>
                <w:rFonts w:ascii="宋体" w:eastAsia="宋体" w:hAnsi="宋体" w:cs="宋体"/>
                <w:b/>
                <w:bCs/>
                <w:color w:val="686868"/>
                <w:kern w:val="0"/>
                <w:sz w:val="18"/>
                <w:szCs w:val="18"/>
              </w:rPr>
              <w:t>名　　称:</w:t>
            </w:r>
            <w:r w:rsidRPr="00324A5F">
              <w:rPr>
                <w:rFonts w:ascii="宋体" w:eastAsia="宋体" w:hAnsi="宋体" w:cs="宋体"/>
                <w:color w:val="686868"/>
                <w:kern w:val="0"/>
                <w:sz w:val="18"/>
                <w:szCs w:val="18"/>
              </w:rPr>
              <w:t> 中国证监会行政处罚决定书（张建国）</w:t>
            </w:r>
          </w:p>
        </w:tc>
      </w:tr>
      <w:tr w:rsidR="00324A5F" w:rsidRPr="00324A5F" w:rsidTr="00324A5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24A5F" w:rsidRPr="00324A5F">
              <w:trPr>
                <w:tblCellSpacing w:w="0" w:type="dxa"/>
              </w:trPr>
              <w:tc>
                <w:tcPr>
                  <w:tcW w:w="2500" w:type="pct"/>
                  <w:tcMar>
                    <w:top w:w="30" w:type="dxa"/>
                    <w:left w:w="30" w:type="dxa"/>
                    <w:bottom w:w="30" w:type="dxa"/>
                    <w:right w:w="30" w:type="dxa"/>
                  </w:tcMar>
                  <w:hideMark/>
                </w:tcPr>
                <w:p w:rsidR="00324A5F" w:rsidRPr="00324A5F" w:rsidRDefault="00324A5F" w:rsidP="00324A5F">
                  <w:pPr>
                    <w:widowControl/>
                    <w:jc w:val="left"/>
                    <w:rPr>
                      <w:rFonts w:ascii="宋体" w:eastAsia="宋体" w:hAnsi="宋体" w:cs="宋体"/>
                      <w:color w:val="686868"/>
                      <w:kern w:val="0"/>
                      <w:sz w:val="18"/>
                      <w:szCs w:val="18"/>
                    </w:rPr>
                  </w:pPr>
                  <w:r w:rsidRPr="00324A5F">
                    <w:rPr>
                      <w:rFonts w:ascii="宋体" w:eastAsia="宋体" w:hAnsi="宋体" w:cs="宋体"/>
                      <w:b/>
                      <w:bCs/>
                      <w:color w:val="686868"/>
                      <w:kern w:val="0"/>
                      <w:sz w:val="18"/>
                      <w:szCs w:val="18"/>
                    </w:rPr>
                    <w:t>文　　号:</w:t>
                  </w:r>
                  <w:r w:rsidRPr="00324A5F">
                    <w:rPr>
                      <w:rFonts w:ascii="宋体" w:eastAsia="宋体" w:hAnsi="宋体" w:cs="宋体"/>
                      <w:color w:val="686868"/>
                      <w:kern w:val="0"/>
                      <w:sz w:val="18"/>
                      <w:szCs w:val="18"/>
                    </w:rPr>
                    <w:t> </w:t>
                  </w:r>
                  <w:bookmarkStart w:id="0" w:name="_GoBack"/>
                  <w:r w:rsidRPr="00324A5F">
                    <w:rPr>
                      <w:rFonts w:ascii="宋体" w:eastAsia="宋体" w:hAnsi="宋体" w:cs="宋体"/>
                      <w:color w:val="686868"/>
                      <w:kern w:val="0"/>
                      <w:sz w:val="18"/>
                      <w:szCs w:val="18"/>
                    </w:rPr>
                    <w:t>〔2019〕91号</w:t>
                  </w:r>
                  <w:bookmarkEnd w:id="0"/>
                </w:p>
              </w:tc>
              <w:tc>
                <w:tcPr>
                  <w:tcW w:w="0" w:type="auto"/>
                  <w:tcMar>
                    <w:top w:w="30" w:type="dxa"/>
                    <w:left w:w="30" w:type="dxa"/>
                    <w:bottom w:w="30" w:type="dxa"/>
                    <w:right w:w="30" w:type="dxa"/>
                  </w:tcMar>
                  <w:hideMark/>
                </w:tcPr>
                <w:p w:rsidR="00324A5F" w:rsidRPr="00324A5F" w:rsidRDefault="00324A5F" w:rsidP="00324A5F">
                  <w:pPr>
                    <w:widowControl/>
                    <w:jc w:val="left"/>
                    <w:rPr>
                      <w:rFonts w:ascii="宋体" w:eastAsia="宋体" w:hAnsi="宋体" w:cs="宋体"/>
                      <w:color w:val="686868"/>
                      <w:kern w:val="0"/>
                      <w:sz w:val="18"/>
                      <w:szCs w:val="18"/>
                    </w:rPr>
                  </w:pPr>
                  <w:r w:rsidRPr="00324A5F">
                    <w:rPr>
                      <w:rFonts w:ascii="宋体" w:eastAsia="宋体" w:hAnsi="宋体" w:cs="宋体"/>
                      <w:b/>
                      <w:bCs/>
                      <w:color w:val="686868"/>
                      <w:kern w:val="0"/>
                      <w:sz w:val="18"/>
                      <w:szCs w:val="18"/>
                    </w:rPr>
                    <w:t>主 题 词:</w:t>
                  </w:r>
                </w:p>
              </w:tc>
            </w:tr>
          </w:tbl>
          <w:p w:rsidR="00324A5F" w:rsidRPr="00324A5F" w:rsidRDefault="00324A5F" w:rsidP="00324A5F">
            <w:pPr>
              <w:widowControl/>
              <w:jc w:val="left"/>
              <w:rPr>
                <w:rFonts w:ascii="宋体" w:eastAsia="宋体" w:hAnsi="宋体" w:cs="宋体"/>
                <w:color w:val="686868"/>
                <w:kern w:val="0"/>
                <w:sz w:val="18"/>
                <w:szCs w:val="18"/>
              </w:rPr>
            </w:pPr>
          </w:p>
        </w:tc>
      </w:tr>
    </w:tbl>
    <w:p w:rsidR="00324A5F" w:rsidRPr="00324A5F" w:rsidRDefault="00324A5F" w:rsidP="00324A5F">
      <w:pPr>
        <w:widowControl/>
        <w:jc w:val="center"/>
        <w:rPr>
          <w:rFonts w:ascii="微软雅黑" w:eastAsia="微软雅黑" w:hAnsi="微软雅黑" w:cs="宋体"/>
          <w:color w:val="000000"/>
          <w:kern w:val="0"/>
          <w:sz w:val="18"/>
          <w:szCs w:val="18"/>
        </w:rPr>
      </w:pPr>
      <w:r w:rsidRPr="00324A5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24A5F" w:rsidRPr="00324A5F" w:rsidRDefault="00324A5F" w:rsidP="00324A5F">
      <w:pPr>
        <w:widowControl/>
        <w:shd w:val="clear" w:color="auto" w:fill="FFFFFF"/>
        <w:spacing w:after="240"/>
        <w:jc w:val="center"/>
        <w:rPr>
          <w:rFonts w:ascii="微软雅黑" w:eastAsia="微软雅黑" w:hAnsi="微软雅黑" w:cs="宋体" w:hint="eastAsia"/>
          <w:color w:val="000000"/>
          <w:kern w:val="0"/>
          <w:sz w:val="18"/>
          <w:szCs w:val="18"/>
        </w:rPr>
      </w:pPr>
      <w:r w:rsidRPr="00324A5F">
        <w:rPr>
          <w:rFonts w:ascii="微软雅黑" w:eastAsia="微软雅黑" w:hAnsi="微软雅黑" w:cs="宋体" w:hint="eastAsia"/>
          <w:color w:val="000000"/>
          <w:kern w:val="0"/>
          <w:sz w:val="18"/>
          <w:szCs w:val="18"/>
        </w:rPr>
        <w:br/>
      </w:r>
      <w:r w:rsidRPr="00324A5F">
        <w:rPr>
          <w:rFonts w:ascii="黑体" w:eastAsia="黑体" w:hAnsi="黑体" w:cs="宋体" w:hint="eastAsia"/>
          <w:b/>
          <w:bCs/>
          <w:color w:val="FF0000"/>
          <w:kern w:val="0"/>
          <w:sz w:val="36"/>
          <w:szCs w:val="36"/>
        </w:rPr>
        <w:t>中国证监会行政处罚决定书（张建国）</w:t>
      </w:r>
    </w:p>
    <w:p w:rsidR="00324A5F" w:rsidRPr="00324A5F" w:rsidRDefault="00324A5F" w:rsidP="00324A5F">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324A5F">
        <w:rPr>
          <w:rFonts w:ascii="微软雅黑" w:eastAsia="微软雅黑" w:hAnsi="微软雅黑" w:cs="宋体" w:hint="eastAsia"/>
          <w:color w:val="000000"/>
          <w:kern w:val="0"/>
          <w:sz w:val="24"/>
          <w:szCs w:val="24"/>
        </w:rPr>
        <w:t> </w:t>
      </w:r>
    </w:p>
    <w:p w:rsidR="00324A5F" w:rsidRPr="00324A5F" w:rsidRDefault="00324A5F" w:rsidP="00324A5F">
      <w:pPr>
        <w:widowControl/>
        <w:shd w:val="clear" w:color="auto" w:fill="FFFFFF"/>
        <w:spacing w:line="600" w:lineRule="atLeast"/>
        <w:jc w:val="center"/>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w:t>
      </w:r>
      <w:r w:rsidRPr="00324A5F">
        <w:rPr>
          <w:rFonts w:ascii="楷体" w:eastAsia="楷体" w:hAnsi="楷体" w:cs="宋体" w:hint="eastAsia"/>
          <w:color w:val="000000"/>
          <w:kern w:val="0"/>
          <w:szCs w:val="21"/>
        </w:rPr>
        <w:t>2019〕91号</w:t>
      </w:r>
    </w:p>
    <w:p w:rsidR="00324A5F" w:rsidRPr="00324A5F" w:rsidRDefault="00324A5F" w:rsidP="00324A5F">
      <w:pPr>
        <w:widowControl/>
        <w:shd w:val="clear" w:color="auto" w:fill="FFFFFF"/>
        <w:spacing w:line="560" w:lineRule="atLeast"/>
        <w:jc w:val="left"/>
        <w:rPr>
          <w:rFonts w:ascii="楷体" w:eastAsia="楷体" w:hAnsi="楷体" w:cs="宋体" w:hint="eastAsia"/>
          <w:color w:val="000000"/>
          <w:kern w:val="0"/>
          <w:sz w:val="24"/>
          <w:szCs w:val="24"/>
        </w:rPr>
      </w:pPr>
      <w:r w:rsidRPr="00324A5F">
        <w:rPr>
          <w:rFonts w:ascii="Calibri" w:eastAsia="楷体" w:hAnsi="Calibri" w:cs="Calibri"/>
          <w:color w:val="000000"/>
          <w:kern w:val="0"/>
          <w:sz w:val="24"/>
          <w:szCs w:val="24"/>
        </w:rPr>
        <w:t> </w:t>
      </w:r>
    </w:p>
    <w:p w:rsidR="00324A5F" w:rsidRPr="00324A5F" w:rsidRDefault="00324A5F" w:rsidP="00324A5F">
      <w:pPr>
        <w:widowControl/>
        <w:shd w:val="clear" w:color="auto" w:fill="FFFFFF"/>
        <w:spacing w:line="560" w:lineRule="atLeast"/>
        <w:jc w:val="left"/>
        <w:rPr>
          <w:rFonts w:ascii="楷体" w:eastAsia="楷体" w:hAnsi="楷体" w:cs="宋体" w:hint="eastAsia"/>
          <w:color w:val="000000"/>
          <w:kern w:val="0"/>
          <w:sz w:val="24"/>
          <w:szCs w:val="24"/>
        </w:rPr>
      </w:pPr>
      <w:r w:rsidRPr="00324A5F">
        <w:rPr>
          <w:rFonts w:ascii="Calibri" w:eastAsia="楷体" w:hAnsi="Calibri" w:cs="Calibri"/>
          <w:color w:val="000000"/>
          <w:kern w:val="0"/>
          <w:sz w:val="24"/>
          <w:szCs w:val="24"/>
        </w:rPr>
        <w:t> </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当事人：张建国，男，</w:t>
      </w:r>
      <w:r w:rsidRPr="00324A5F">
        <w:rPr>
          <w:rFonts w:ascii="楷体" w:eastAsia="楷体" w:hAnsi="楷体" w:cs="宋体" w:hint="eastAsia"/>
          <w:color w:val="000000"/>
          <w:kern w:val="0"/>
          <w:szCs w:val="21"/>
        </w:rPr>
        <w:t>1969年5月出生，</w:t>
      </w:r>
      <w:r w:rsidRPr="00324A5F">
        <w:rPr>
          <w:rFonts w:ascii="楷体" w:eastAsia="楷体" w:hAnsi="楷体" w:cs="宋体" w:hint="eastAsia"/>
          <w:color w:val="000000"/>
          <w:kern w:val="0"/>
          <w:sz w:val="24"/>
          <w:szCs w:val="24"/>
        </w:rPr>
        <w:t>住址：陕西省西安市雁塔区</w:t>
      </w:r>
      <w:r w:rsidRPr="00324A5F">
        <w:rPr>
          <w:rFonts w:ascii="楷体" w:eastAsia="楷体" w:hAnsi="楷体" w:cs="宋体" w:hint="eastAsia"/>
          <w:color w:val="000000"/>
          <w:kern w:val="0"/>
          <w:szCs w:val="21"/>
        </w:rPr>
        <w:t>。</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依据《中华人民共和国证券法》（以下简称《证券法》）的有关规定，我会对张建国内幕交易光正集团股份有限公司（以下简称光正集团）股票的行为进行了立案调查、审理，并依法向当事人告知了</w:t>
      </w:r>
      <w:proofErr w:type="gramStart"/>
      <w:r w:rsidRPr="00324A5F">
        <w:rPr>
          <w:rFonts w:ascii="楷体" w:eastAsia="楷体" w:hAnsi="楷体" w:cs="宋体" w:hint="eastAsia"/>
          <w:color w:val="000000"/>
          <w:kern w:val="0"/>
          <w:sz w:val="24"/>
          <w:szCs w:val="24"/>
        </w:rPr>
        <w:t>作出</w:t>
      </w:r>
      <w:proofErr w:type="gramEnd"/>
      <w:r w:rsidRPr="00324A5F">
        <w:rPr>
          <w:rFonts w:ascii="楷体" w:eastAsia="楷体" w:hAnsi="楷体" w:cs="宋体" w:hint="eastAsia"/>
          <w:color w:val="000000"/>
          <w:kern w:val="0"/>
          <w:sz w:val="24"/>
          <w:szCs w:val="24"/>
        </w:rPr>
        <w:t>行政处罚的事实、理由、依据及当事人依法享有的权利。应当事人要求，我会举行了听证会，听取了当事人及其代理人的陈述和申辩。本案现已调查、审理终结。</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经查明，张建国存在以下违法事实：</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Cs w:val="21"/>
        </w:rPr>
        <w:t>一、</w:t>
      </w:r>
      <w:r w:rsidRPr="00324A5F">
        <w:rPr>
          <w:rFonts w:ascii="楷体" w:eastAsia="楷体" w:hAnsi="楷体" w:cs="宋体" w:hint="eastAsia"/>
          <w:color w:val="000000"/>
          <w:kern w:val="0"/>
          <w:sz w:val="24"/>
          <w:szCs w:val="24"/>
        </w:rPr>
        <w:t>内幕信息的形成和公开过程</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Cs w:val="21"/>
        </w:rPr>
        <w:t>2017年10月</w:t>
      </w:r>
      <w:r w:rsidRPr="00324A5F">
        <w:rPr>
          <w:rFonts w:ascii="楷体" w:eastAsia="楷体" w:hAnsi="楷体" w:cs="宋体" w:hint="eastAsia"/>
          <w:color w:val="000000"/>
          <w:kern w:val="0"/>
          <w:sz w:val="24"/>
          <w:szCs w:val="24"/>
        </w:rPr>
        <w:t>，有人向光正集团实际控制人周某麟推荐了上海新视界眼科医院投资有限公司（以下简称新视界）项目。</w:t>
      </w:r>
      <w:r w:rsidRPr="00324A5F">
        <w:rPr>
          <w:rFonts w:ascii="楷体" w:eastAsia="楷体" w:hAnsi="楷体" w:cs="宋体" w:hint="eastAsia"/>
          <w:color w:val="000000"/>
          <w:kern w:val="0"/>
          <w:szCs w:val="21"/>
        </w:rPr>
        <w:t>11月21日，</w:t>
      </w:r>
      <w:r w:rsidRPr="00324A5F">
        <w:rPr>
          <w:rFonts w:ascii="楷体" w:eastAsia="楷体" w:hAnsi="楷体" w:cs="宋体" w:hint="eastAsia"/>
          <w:color w:val="000000"/>
          <w:kern w:val="0"/>
          <w:sz w:val="24"/>
          <w:szCs w:val="24"/>
        </w:rPr>
        <w:t>周某麟与新视界实际控制人、法定代表人、董事长兼总经理林某光等人见面，双方表达了合作的初步意愿。林某光提出希望对方以现金方式收购新视界。</w:t>
      </w:r>
      <w:r w:rsidRPr="00324A5F">
        <w:rPr>
          <w:rFonts w:ascii="楷体" w:eastAsia="楷体" w:hAnsi="楷体" w:cs="宋体" w:hint="eastAsia"/>
          <w:color w:val="000000"/>
          <w:kern w:val="0"/>
          <w:szCs w:val="21"/>
        </w:rPr>
        <w:t>11月24日</w:t>
      </w:r>
      <w:r w:rsidRPr="00324A5F">
        <w:rPr>
          <w:rFonts w:ascii="楷体" w:eastAsia="楷体" w:hAnsi="楷体" w:cs="宋体" w:hint="eastAsia"/>
          <w:color w:val="000000"/>
          <w:kern w:val="0"/>
          <w:sz w:val="24"/>
          <w:szCs w:val="24"/>
        </w:rPr>
        <w:t>至</w:t>
      </w:r>
      <w:r w:rsidRPr="00324A5F">
        <w:rPr>
          <w:rFonts w:ascii="楷体" w:eastAsia="楷体" w:hAnsi="楷体" w:cs="宋体" w:hint="eastAsia"/>
          <w:color w:val="000000"/>
          <w:kern w:val="0"/>
          <w:szCs w:val="21"/>
        </w:rPr>
        <w:t>25日，</w:t>
      </w:r>
      <w:r w:rsidRPr="00324A5F">
        <w:rPr>
          <w:rFonts w:ascii="楷体" w:eastAsia="楷体" w:hAnsi="楷体" w:cs="宋体" w:hint="eastAsia"/>
          <w:color w:val="000000"/>
          <w:kern w:val="0"/>
          <w:sz w:val="24"/>
          <w:szCs w:val="24"/>
        </w:rPr>
        <w:t>周某麟、林某光</w:t>
      </w:r>
      <w:r w:rsidRPr="00324A5F">
        <w:rPr>
          <w:rFonts w:ascii="楷体" w:eastAsia="楷体" w:hAnsi="楷体" w:cs="宋体" w:hint="eastAsia"/>
          <w:color w:val="000000"/>
          <w:kern w:val="0"/>
          <w:sz w:val="24"/>
          <w:szCs w:val="24"/>
        </w:rPr>
        <w:lastRenderedPageBreak/>
        <w:t>等人再次见面，进一步磋商合作形式、估值等细节，双方初步达成合作意向。</w:t>
      </w:r>
      <w:r w:rsidRPr="00324A5F">
        <w:rPr>
          <w:rFonts w:ascii="楷体" w:eastAsia="楷体" w:hAnsi="楷体" w:cs="宋体" w:hint="eastAsia"/>
          <w:color w:val="000000"/>
          <w:kern w:val="0"/>
          <w:szCs w:val="21"/>
        </w:rPr>
        <w:t>11月25日，</w:t>
      </w:r>
      <w:r w:rsidRPr="00324A5F">
        <w:rPr>
          <w:rFonts w:ascii="楷体" w:eastAsia="楷体" w:hAnsi="楷体" w:cs="宋体" w:hint="eastAsia"/>
          <w:color w:val="000000"/>
          <w:kern w:val="0"/>
          <w:sz w:val="24"/>
          <w:szCs w:val="24"/>
        </w:rPr>
        <w:t>周某麟指示光正集团控股股东光正投资有限公司总经理王某</w:t>
      </w:r>
      <w:proofErr w:type="gramStart"/>
      <w:r w:rsidRPr="00324A5F">
        <w:rPr>
          <w:rFonts w:ascii="楷体" w:eastAsia="楷体" w:hAnsi="楷体" w:cs="宋体" w:hint="eastAsia"/>
          <w:color w:val="000000"/>
          <w:kern w:val="0"/>
          <w:sz w:val="24"/>
          <w:szCs w:val="24"/>
        </w:rPr>
        <w:t>民安排</w:t>
      </w:r>
      <w:proofErr w:type="gramEnd"/>
      <w:r w:rsidRPr="00324A5F">
        <w:rPr>
          <w:rFonts w:ascii="楷体" w:eastAsia="楷体" w:hAnsi="楷体" w:cs="宋体" w:hint="eastAsia"/>
          <w:color w:val="000000"/>
          <w:kern w:val="0"/>
          <w:sz w:val="24"/>
          <w:szCs w:val="24"/>
        </w:rPr>
        <w:t>人员尽职调查。</w:t>
      </w:r>
      <w:r w:rsidRPr="00324A5F">
        <w:rPr>
          <w:rFonts w:ascii="楷体" w:eastAsia="楷体" w:hAnsi="楷体" w:cs="宋体" w:hint="eastAsia"/>
          <w:color w:val="000000"/>
          <w:kern w:val="0"/>
          <w:szCs w:val="21"/>
        </w:rPr>
        <w:t>11月26日，</w:t>
      </w:r>
      <w:r w:rsidRPr="00324A5F">
        <w:rPr>
          <w:rFonts w:ascii="楷体" w:eastAsia="楷体" w:hAnsi="楷体" w:cs="宋体" w:hint="eastAsia"/>
          <w:color w:val="000000"/>
          <w:kern w:val="0"/>
          <w:sz w:val="24"/>
          <w:szCs w:val="24"/>
        </w:rPr>
        <w:t>王某民建立尽职调查工作联系</w:t>
      </w:r>
      <w:proofErr w:type="gramStart"/>
      <w:r w:rsidRPr="00324A5F">
        <w:rPr>
          <w:rFonts w:ascii="楷体" w:eastAsia="楷体" w:hAnsi="楷体" w:cs="宋体" w:hint="eastAsia"/>
          <w:color w:val="000000"/>
          <w:kern w:val="0"/>
          <w:sz w:val="24"/>
          <w:szCs w:val="24"/>
        </w:rPr>
        <w:t>微信群</w:t>
      </w:r>
      <w:proofErr w:type="gramEnd"/>
      <w:r w:rsidRPr="00324A5F">
        <w:rPr>
          <w:rFonts w:ascii="楷体" w:eastAsia="楷体" w:hAnsi="楷体" w:cs="宋体" w:hint="eastAsia"/>
          <w:color w:val="000000"/>
          <w:kern w:val="0"/>
          <w:sz w:val="24"/>
          <w:szCs w:val="24"/>
        </w:rPr>
        <w:t>，群里有周某麟、王某民等人。经过尽职调查及磋商，周某麟、林某光于</w:t>
      </w:r>
      <w:r w:rsidRPr="00324A5F">
        <w:rPr>
          <w:rFonts w:ascii="楷体" w:eastAsia="楷体" w:hAnsi="楷体" w:cs="宋体" w:hint="eastAsia"/>
          <w:color w:val="000000"/>
          <w:kern w:val="0"/>
          <w:szCs w:val="21"/>
        </w:rPr>
        <w:t>12月17日签署关于光正集团收购新视界的合作意向书。12月18日，“</w:t>
      </w:r>
      <w:r w:rsidRPr="00324A5F">
        <w:rPr>
          <w:rFonts w:ascii="楷体" w:eastAsia="楷体" w:hAnsi="楷体" w:cs="宋体" w:hint="eastAsia"/>
          <w:color w:val="000000"/>
          <w:kern w:val="0"/>
          <w:sz w:val="24"/>
          <w:szCs w:val="24"/>
        </w:rPr>
        <w:t>光正集团</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停牌。</w:t>
      </w:r>
      <w:r w:rsidRPr="00324A5F">
        <w:rPr>
          <w:rFonts w:ascii="楷体" w:eastAsia="楷体" w:hAnsi="楷体" w:cs="宋体" w:hint="eastAsia"/>
          <w:color w:val="000000"/>
          <w:kern w:val="0"/>
          <w:szCs w:val="21"/>
        </w:rPr>
        <w:t>2018年2月13日，光正集团公告</w:t>
      </w:r>
      <w:r w:rsidRPr="00324A5F">
        <w:rPr>
          <w:rFonts w:ascii="楷体" w:eastAsia="楷体" w:hAnsi="楷体" w:cs="宋体" w:hint="eastAsia"/>
          <w:color w:val="000000"/>
          <w:kern w:val="0"/>
          <w:sz w:val="24"/>
          <w:szCs w:val="24"/>
        </w:rPr>
        <w:t>重大资产重组基本情况，</w:t>
      </w:r>
      <w:r w:rsidRPr="00324A5F">
        <w:rPr>
          <w:rFonts w:ascii="楷体" w:eastAsia="楷体" w:hAnsi="楷体" w:cs="宋体" w:hint="eastAsia"/>
          <w:color w:val="000000"/>
          <w:kern w:val="0"/>
          <w:szCs w:val="21"/>
        </w:rPr>
        <w:t>4月23日，“</w:t>
      </w:r>
      <w:r w:rsidRPr="00324A5F">
        <w:rPr>
          <w:rFonts w:ascii="楷体" w:eastAsia="楷体" w:hAnsi="楷体" w:cs="宋体" w:hint="eastAsia"/>
          <w:color w:val="000000"/>
          <w:kern w:val="0"/>
          <w:sz w:val="24"/>
          <w:szCs w:val="24"/>
        </w:rPr>
        <w:t>光正集团</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复牌。</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我会认为，光正集团收购新视界股权事项属于《证券法》第六十七条第二款第二项所述</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公司的重大投资行为和重大的购置财产的决定</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，在公开</w:t>
      </w:r>
      <w:proofErr w:type="gramStart"/>
      <w:r w:rsidRPr="00324A5F">
        <w:rPr>
          <w:rFonts w:ascii="楷体" w:eastAsia="楷体" w:hAnsi="楷体" w:cs="宋体" w:hint="eastAsia"/>
          <w:color w:val="000000"/>
          <w:kern w:val="0"/>
          <w:sz w:val="24"/>
          <w:szCs w:val="24"/>
        </w:rPr>
        <w:t>前构成</w:t>
      </w:r>
      <w:proofErr w:type="gramEnd"/>
      <w:r w:rsidRPr="00324A5F">
        <w:rPr>
          <w:rFonts w:ascii="楷体" w:eastAsia="楷体" w:hAnsi="楷体" w:cs="宋体" w:hint="eastAsia"/>
          <w:color w:val="000000"/>
          <w:kern w:val="0"/>
          <w:sz w:val="24"/>
          <w:szCs w:val="24"/>
        </w:rPr>
        <w:t>《证券法》第七十五条第二款第一项所述内幕信息，该内幕信息不晚于</w:t>
      </w:r>
      <w:r w:rsidRPr="00324A5F">
        <w:rPr>
          <w:rFonts w:ascii="楷体" w:eastAsia="楷体" w:hAnsi="楷体" w:cs="宋体" w:hint="eastAsia"/>
          <w:color w:val="000000"/>
          <w:kern w:val="0"/>
          <w:szCs w:val="21"/>
        </w:rPr>
        <w:t>2017年11月25日形成，2018年2月13日公开。周某麟等人为内幕信息知情人，周某麟知悉内幕信息时间不晚于2017年11月25日。</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Cs w:val="21"/>
        </w:rPr>
        <w:t>二、</w:t>
      </w:r>
      <w:r w:rsidRPr="00324A5F">
        <w:rPr>
          <w:rFonts w:ascii="楷体" w:eastAsia="楷体" w:hAnsi="楷体" w:cs="宋体" w:hint="eastAsia"/>
          <w:color w:val="000000"/>
          <w:kern w:val="0"/>
          <w:sz w:val="24"/>
          <w:szCs w:val="24"/>
        </w:rPr>
        <w:t>张建国交易</w:t>
      </w:r>
      <w:r w:rsidRPr="00324A5F">
        <w:rPr>
          <w:rFonts w:ascii="楷体" w:eastAsia="楷体" w:hAnsi="楷体" w:cs="宋体" w:hint="eastAsia"/>
          <w:color w:val="000000"/>
          <w:kern w:val="0"/>
          <w:szCs w:val="21"/>
        </w:rPr>
        <w:t>“光正集团”的情况</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（一）张建国与内幕信息知情人联络接触</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张建国在内幕信息公开前与周某麟联系频繁，多次通话，且曾于</w:t>
      </w:r>
      <w:r w:rsidRPr="00324A5F">
        <w:rPr>
          <w:rFonts w:ascii="楷体" w:eastAsia="楷体" w:hAnsi="楷体" w:cs="宋体" w:hint="eastAsia"/>
          <w:color w:val="000000"/>
          <w:kern w:val="0"/>
          <w:szCs w:val="21"/>
        </w:rPr>
        <w:t>2017年11月30日、12月1日见面。</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（二）张建国控制</w:t>
      </w:r>
      <w:r w:rsidRPr="00324A5F">
        <w:rPr>
          <w:rFonts w:ascii="楷体" w:eastAsia="楷体" w:hAnsi="楷体" w:cs="宋体" w:hint="eastAsia"/>
          <w:color w:val="000000"/>
          <w:kern w:val="0"/>
          <w:szCs w:val="21"/>
        </w:rPr>
        <w:t>“董某华”等证券账户交易“光正集团”</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Cs w:val="21"/>
        </w:rPr>
        <w:t>2017年5月25日“</w:t>
      </w:r>
      <w:r w:rsidRPr="00324A5F">
        <w:rPr>
          <w:rFonts w:ascii="楷体" w:eastAsia="楷体" w:hAnsi="楷体" w:cs="宋体" w:hint="eastAsia"/>
          <w:color w:val="000000"/>
          <w:kern w:val="0"/>
          <w:sz w:val="24"/>
          <w:szCs w:val="24"/>
        </w:rPr>
        <w:t>董某华</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陈某姿</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王某梅</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宋某迪</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证券账户（以下简称</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董某华</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等证券账户）在中</w:t>
      </w:r>
      <w:proofErr w:type="gramStart"/>
      <w:r w:rsidRPr="00324A5F">
        <w:rPr>
          <w:rFonts w:ascii="楷体" w:eastAsia="楷体" w:hAnsi="楷体" w:cs="宋体" w:hint="eastAsia"/>
          <w:color w:val="000000"/>
          <w:kern w:val="0"/>
          <w:sz w:val="24"/>
          <w:szCs w:val="24"/>
        </w:rPr>
        <w:t>信建投证券</w:t>
      </w:r>
      <w:proofErr w:type="gramEnd"/>
      <w:r w:rsidRPr="00324A5F">
        <w:rPr>
          <w:rFonts w:ascii="楷体" w:eastAsia="楷体" w:hAnsi="楷体" w:cs="宋体" w:hint="eastAsia"/>
          <w:color w:val="000000"/>
          <w:kern w:val="0"/>
          <w:sz w:val="24"/>
          <w:szCs w:val="24"/>
        </w:rPr>
        <w:t>乌鲁木齐南湖北路开立信用证券账户，由张建国控制、决策，资金属于张建国。</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涉案期间，</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董某华</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等证券账户交易</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光正集团</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的情况为：</w:t>
      </w:r>
      <w:r w:rsidRPr="00324A5F">
        <w:rPr>
          <w:rFonts w:ascii="楷体" w:eastAsia="楷体" w:hAnsi="楷体" w:cs="宋体" w:hint="eastAsia"/>
          <w:color w:val="000000"/>
          <w:kern w:val="0"/>
          <w:szCs w:val="21"/>
        </w:rPr>
        <w:t>2017年12月1日至12月12日买入3,027,468股，成交金额17,594,547元；2018年4月25日、4月27日全部卖出，成交金额20,322,948元，盈利2,670,161元。其中：</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Cs w:val="21"/>
        </w:rPr>
        <w:lastRenderedPageBreak/>
        <w:t>“</w:t>
      </w:r>
      <w:r w:rsidRPr="00324A5F">
        <w:rPr>
          <w:rFonts w:ascii="楷体" w:eastAsia="楷体" w:hAnsi="楷体" w:cs="宋体" w:hint="eastAsia"/>
          <w:color w:val="000000"/>
          <w:kern w:val="0"/>
          <w:sz w:val="24"/>
          <w:szCs w:val="24"/>
        </w:rPr>
        <w:t>董某华</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证券账户</w:t>
      </w:r>
      <w:r w:rsidRPr="00324A5F">
        <w:rPr>
          <w:rFonts w:ascii="楷体" w:eastAsia="楷体" w:hAnsi="楷体" w:cs="宋体" w:hint="eastAsia"/>
          <w:color w:val="000000"/>
          <w:kern w:val="0"/>
          <w:szCs w:val="21"/>
        </w:rPr>
        <w:t>2017年12月4日买入502,700股，成交金额2,993,997元；12月5日买入346,800股，成交金额2,000,446元。2018年4月27日全部卖出，成交金额6,167,370元。该账户涉案交易盈利1,155,598元。</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陈某姿</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证券账户</w:t>
      </w:r>
      <w:r w:rsidRPr="00324A5F">
        <w:rPr>
          <w:rFonts w:ascii="楷体" w:eastAsia="楷体" w:hAnsi="楷体" w:cs="宋体" w:hint="eastAsia"/>
          <w:color w:val="000000"/>
          <w:kern w:val="0"/>
          <w:szCs w:val="21"/>
        </w:rPr>
        <w:t>2017年12月6日买入400,000股，成交金额2,258,100元；12月7日买入62,400股，成交金额353,408元。2018年4月25日全部卖出，成交金额2,777,517元。该账户涉案交易盈利157,842元。</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王某梅</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证券账户</w:t>
      </w:r>
      <w:r w:rsidRPr="00324A5F">
        <w:rPr>
          <w:rFonts w:ascii="楷体" w:eastAsia="楷体" w:hAnsi="楷体" w:cs="宋体" w:hint="eastAsia"/>
          <w:color w:val="000000"/>
          <w:kern w:val="0"/>
          <w:szCs w:val="21"/>
        </w:rPr>
        <w:t>2017年12月1日买入381,800股，成交金额2,285,969元；12月4日买入453,857股，成交金额2,708,788元。2018年4月27日全部卖出，成交金额6,066,870元。该账户涉案交易盈利1,054,985元。</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宋某迪</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证券账户</w:t>
      </w:r>
      <w:r w:rsidRPr="00324A5F">
        <w:rPr>
          <w:rFonts w:ascii="楷体" w:eastAsia="楷体" w:hAnsi="楷体" w:cs="宋体" w:hint="eastAsia"/>
          <w:color w:val="000000"/>
          <w:kern w:val="0"/>
          <w:szCs w:val="21"/>
        </w:rPr>
        <w:t>2017年12月7日买入408,801股，成交金额2,315,638元；12月8日买入150,000股，成交金额854,700元；12月11日买入266,110股，成交金额1,510,002元；12月12日买入55,000股，成交金额313,500元。2018年4月25日卖出839,911股，成交金额5,020,791万元；4月27日卖出40,000股，金额290,400元。该账户涉案交易盈利301,736元。</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上述违法事实，有相关公告、相关单位和个人提交的情况说明、相关人员询问笔录和通讯记录、相关账户开户资料和交易流水等证据证明，足以认定。</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我会认为，张建国的上述行为违反了《证券法》第七十三条、第七十六条第一款的规定，构成了《证券法》第二百零二条所述内幕交易。</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张建国及其代理人提出如下陈述和申辩意见：第一，内幕信息形成</w:t>
      </w:r>
      <w:proofErr w:type="gramStart"/>
      <w:r w:rsidRPr="00324A5F">
        <w:rPr>
          <w:rFonts w:ascii="楷体" w:eastAsia="楷体" w:hAnsi="楷体" w:cs="宋体" w:hint="eastAsia"/>
          <w:color w:val="000000"/>
          <w:kern w:val="0"/>
          <w:sz w:val="24"/>
          <w:szCs w:val="24"/>
        </w:rPr>
        <w:t>至少应晚于</w:t>
      </w:r>
      <w:proofErr w:type="gramEnd"/>
      <w:r w:rsidRPr="00324A5F">
        <w:rPr>
          <w:rFonts w:ascii="楷体" w:eastAsia="楷体" w:hAnsi="楷体" w:cs="宋体" w:hint="eastAsia"/>
          <w:color w:val="000000"/>
          <w:kern w:val="0"/>
          <w:sz w:val="24"/>
          <w:szCs w:val="24"/>
        </w:rPr>
        <w:t>签订合作意向书的</w:t>
      </w:r>
      <w:r w:rsidRPr="00324A5F">
        <w:rPr>
          <w:rFonts w:ascii="楷体" w:eastAsia="楷体" w:hAnsi="楷体" w:cs="宋体" w:hint="eastAsia"/>
          <w:color w:val="000000"/>
          <w:kern w:val="0"/>
          <w:szCs w:val="21"/>
        </w:rPr>
        <w:t>2017年12月17日，而</w:t>
      </w:r>
      <w:proofErr w:type="gramStart"/>
      <w:r w:rsidRPr="00324A5F">
        <w:rPr>
          <w:rFonts w:ascii="楷体" w:eastAsia="楷体" w:hAnsi="楷体" w:cs="宋体" w:hint="eastAsia"/>
          <w:color w:val="000000"/>
          <w:kern w:val="0"/>
          <w:szCs w:val="21"/>
        </w:rPr>
        <w:t>非收购</w:t>
      </w:r>
      <w:proofErr w:type="gramEnd"/>
      <w:r w:rsidRPr="00324A5F">
        <w:rPr>
          <w:rFonts w:ascii="楷体" w:eastAsia="楷体" w:hAnsi="楷体" w:cs="宋体" w:hint="eastAsia"/>
          <w:color w:val="000000"/>
          <w:kern w:val="0"/>
          <w:szCs w:val="21"/>
        </w:rPr>
        <w:t>交易尚存在极大不确定性的11月25日。第二，根据张建国和周某麟的陈述和光正集团保密措施，张建国未从周某麟处获得内幕信息。</w:t>
      </w:r>
      <w:proofErr w:type="gramStart"/>
      <w:r w:rsidRPr="00324A5F">
        <w:rPr>
          <w:rFonts w:ascii="楷体" w:eastAsia="楷体" w:hAnsi="楷体" w:cs="宋体" w:hint="eastAsia"/>
          <w:color w:val="000000"/>
          <w:kern w:val="0"/>
          <w:szCs w:val="21"/>
        </w:rPr>
        <w:t>且微信</w:t>
      </w:r>
      <w:proofErr w:type="gramEnd"/>
      <w:r w:rsidRPr="00324A5F">
        <w:rPr>
          <w:rFonts w:ascii="楷体" w:eastAsia="楷体" w:hAnsi="楷体" w:cs="宋体" w:hint="eastAsia"/>
          <w:color w:val="000000"/>
          <w:kern w:val="0"/>
          <w:szCs w:val="21"/>
        </w:rPr>
        <w:t>记录显示张建国12月18日问周某麟“</w:t>
      </w:r>
      <w:r w:rsidRPr="00324A5F">
        <w:rPr>
          <w:rFonts w:ascii="楷体" w:eastAsia="楷体" w:hAnsi="楷体" w:cs="宋体" w:hint="eastAsia"/>
          <w:color w:val="000000"/>
          <w:kern w:val="0"/>
          <w:sz w:val="24"/>
          <w:szCs w:val="24"/>
        </w:rPr>
        <w:t>你这个股票怎么停牌了，有啥重大重组吗，还是什么？</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这进一步证明张建国在内幕信息公开前并不知情。第三，交易有正当理由和正当信息来源。买入基于对光正集团的估值，且光正集团</w:t>
      </w:r>
      <w:r w:rsidRPr="00324A5F">
        <w:rPr>
          <w:rFonts w:ascii="楷体" w:eastAsia="楷体" w:hAnsi="楷体" w:cs="宋体" w:hint="eastAsia"/>
          <w:color w:val="000000"/>
          <w:kern w:val="0"/>
          <w:szCs w:val="21"/>
        </w:rPr>
        <w:t>2014</w:t>
      </w:r>
      <w:r w:rsidRPr="00324A5F">
        <w:rPr>
          <w:rFonts w:ascii="楷体" w:eastAsia="楷体" w:hAnsi="楷体" w:cs="宋体" w:hint="eastAsia"/>
          <w:color w:val="000000"/>
          <w:kern w:val="0"/>
          <w:szCs w:val="21"/>
        </w:rPr>
        <w:lastRenderedPageBreak/>
        <w:t>年、2016年曾进行重组，有合理理由判断其一直有重组需要。在复牌后卖出符合正常、理性决策判断。第四，“</w:t>
      </w:r>
      <w:r w:rsidRPr="00324A5F">
        <w:rPr>
          <w:rFonts w:ascii="楷体" w:eastAsia="楷体" w:hAnsi="楷体" w:cs="宋体" w:hint="eastAsia"/>
          <w:color w:val="000000"/>
          <w:kern w:val="0"/>
          <w:sz w:val="24"/>
          <w:szCs w:val="24"/>
        </w:rPr>
        <w:t>董某华</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等证券账户并非为涉案交易专门开设。第五，行政机关对其</w:t>
      </w:r>
      <w:proofErr w:type="gramStart"/>
      <w:r w:rsidRPr="00324A5F">
        <w:rPr>
          <w:rFonts w:ascii="楷体" w:eastAsia="楷体" w:hAnsi="楷体" w:cs="宋体" w:hint="eastAsia"/>
          <w:color w:val="000000"/>
          <w:kern w:val="0"/>
          <w:sz w:val="24"/>
          <w:szCs w:val="24"/>
        </w:rPr>
        <w:t>作出</w:t>
      </w:r>
      <w:proofErr w:type="gramEnd"/>
      <w:r w:rsidRPr="00324A5F">
        <w:rPr>
          <w:rFonts w:ascii="楷体" w:eastAsia="楷体" w:hAnsi="楷体" w:cs="宋体" w:hint="eastAsia"/>
          <w:color w:val="000000"/>
          <w:kern w:val="0"/>
          <w:sz w:val="24"/>
          <w:szCs w:val="24"/>
        </w:rPr>
        <w:t>的行政行为负有举证责任，《行政处罚事先告知书》的认定仅能说明张建国有</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内幕交易嫌疑</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，不能证明其进行了内幕交易，且在张建国</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未能提供证据排除内幕交易嫌疑</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的情况下，即认定张建国实施了违法行为，属于错误分配举证责任。</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针对上述申辩意见，我会决定不予采纳，具体理由如下：</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Cs w:val="21"/>
        </w:rPr>
        <w:t>第一，</w:t>
      </w:r>
      <w:r w:rsidRPr="00324A5F">
        <w:rPr>
          <w:rFonts w:ascii="楷体" w:eastAsia="楷体" w:hAnsi="楷体" w:cs="宋体" w:hint="eastAsia"/>
          <w:color w:val="000000"/>
          <w:kern w:val="0"/>
          <w:sz w:val="24"/>
          <w:szCs w:val="24"/>
        </w:rPr>
        <w:t>关于内幕信息的形成时间，</w:t>
      </w:r>
      <w:r w:rsidRPr="00324A5F">
        <w:rPr>
          <w:rFonts w:ascii="楷体" w:eastAsia="楷体" w:hAnsi="楷体" w:cs="宋体" w:hint="eastAsia"/>
          <w:color w:val="000000"/>
          <w:kern w:val="0"/>
          <w:szCs w:val="21"/>
        </w:rPr>
        <w:t>2017年11月24日和25日，周某麟与</w:t>
      </w:r>
      <w:r w:rsidRPr="00324A5F">
        <w:rPr>
          <w:rFonts w:ascii="楷体" w:eastAsia="楷体" w:hAnsi="楷体" w:cs="宋体" w:hint="eastAsia"/>
          <w:color w:val="000000"/>
          <w:kern w:val="0"/>
          <w:sz w:val="24"/>
          <w:szCs w:val="24"/>
        </w:rPr>
        <w:t>林某光再次见面，进一步磋商合作形式、估值等细节。周某麟与林某光均是各自公司的实际控制人，对促成双方合作具有决定性影响，二人初步达成合作意向并安排尽职调查，内幕信息至迟于</w:t>
      </w:r>
      <w:r w:rsidRPr="00324A5F">
        <w:rPr>
          <w:rFonts w:ascii="楷体" w:eastAsia="楷体" w:hAnsi="楷体" w:cs="宋体" w:hint="eastAsia"/>
          <w:color w:val="000000"/>
          <w:kern w:val="0"/>
          <w:szCs w:val="21"/>
        </w:rPr>
        <w:t>11月25日已经形成。</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第二，张建国在内幕信息公开前与周某麟密切联络、接触，而其交易</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光正集团</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的行为明显异常，且无正当理由或者正当信息来源，属于非法获取证券交易内幕信息的人员。周某麟称未泄露内幕信息、光正集团公告称未发生信息泄露、张建国询问周某麟股票为何停牌等，均不足以构成抗辩理由。</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第三，关于交易理由和信息来源，一是张建国未提供长期关注该股的证据。二是涉案交易前该股多次达到张建国称可以买入的价格区间，但其并未买入。且张建国称</w:t>
      </w:r>
      <w:r w:rsidRPr="00324A5F">
        <w:rPr>
          <w:rFonts w:ascii="楷体" w:eastAsia="楷体" w:hAnsi="楷体" w:cs="宋体" w:hint="eastAsia"/>
          <w:color w:val="000000"/>
          <w:kern w:val="0"/>
          <w:szCs w:val="21"/>
        </w:rPr>
        <w:t>2017年12月股价处于“</w:t>
      </w:r>
      <w:r w:rsidRPr="00324A5F">
        <w:rPr>
          <w:rFonts w:ascii="楷体" w:eastAsia="楷体" w:hAnsi="楷体" w:cs="宋体" w:hint="eastAsia"/>
          <w:color w:val="000000"/>
          <w:kern w:val="0"/>
          <w:sz w:val="24"/>
          <w:szCs w:val="24"/>
        </w:rPr>
        <w:t>当年股价最低的区间</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，是从事后判断，不能构成合理理由。三是光正集团</w:t>
      </w:r>
      <w:r w:rsidRPr="00324A5F">
        <w:rPr>
          <w:rFonts w:ascii="楷体" w:eastAsia="楷体" w:hAnsi="楷体" w:cs="宋体" w:hint="eastAsia"/>
          <w:color w:val="000000"/>
          <w:kern w:val="0"/>
          <w:szCs w:val="21"/>
        </w:rPr>
        <w:t>2014年、2016年曾进行重组，不能得出2017年也将重组的结论，</w:t>
      </w:r>
      <w:r w:rsidRPr="00324A5F">
        <w:rPr>
          <w:rFonts w:ascii="楷体" w:eastAsia="楷体" w:hAnsi="楷体" w:cs="宋体" w:hint="eastAsia"/>
          <w:color w:val="000000"/>
          <w:kern w:val="0"/>
          <w:sz w:val="24"/>
          <w:szCs w:val="24"/>
        </w:rPr>
        <w:t>亦不足以构成交易合理理由。四是张建国在调查人员对其询问之后短期卖出，其所称卖出理由不能解释涉案交易的异常性。</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第四，涉案账户名义所有人均为张建国控制公司员工，</w:t>
      </w:r>
      <w:r w:rsidRPr="00324A5F">
        <w:rPr>
          <w:rFonts w:ascii="楷体" w:eastAsia="楷体" w:hAnsi="楷体" w:cs="宋体" w:hint="eastAsia"/>
          <w:color w:val="000000"/>
          <w:kern w:val="0"/>
          <w:szCs w:val="21"/>
        </w:rPr>
        <w:t>2017年5月25日，四个信用证券账户开立后并</w:t>
      </w:r>
      <w:r w:rsidRPr="00324A5F">
        <w:rPr>
          <w:rFonts w:ascii="楷体" w:eastAsia="楷体" w:hAnsi="楷体" w:cs="宋体" w:hint="eastAsia"/>
          <w:color w:val="000000"/>
          <w:kern w:val="0"/>
          <w:sz w:val="24"/>
          <w:szCs w:val="24"/>
        </w:rPr>
        <w:t>未启用，直至</w:t>
      </w:r>
      <w:r w:rsidRPr="00324A5F">
        <w:rPr>
          <w:rFonts w:ascii="楷体" w:eastAsia="楷体" w:hAnsi="楷体" w:cs="宋体" w:hint="eastAsia"/>
          <w:color w:val="000000"/>
          <w:kern w:val="0"/>
          <w:szCs w:val="21"/>
        </w:rPr>
        <w:t>11月底，张建国安排他人办理三方存管银行变更等手续，并开始进行资金划转。同期，张建国将四个证券账户交给其朋友马某骐操作。</w:t>
      </w:r>
      <w:r w:rsidRPr="00324A5F">
        <w:rPr>
          <w:rFonts w:ascii="楷体" w:eastAsia="楷体" w:hAnsi="楷体" w:cs="宋体" w:hint="eastAsia"/>
          <w:color w:val="000000"/>
          <w:kern w:val="0"/>
          <w:szCs w:val="21"/>
        </w:rPr>
        <w:lastRenderedPageBreak/>
        <w:t>2017年12月1日，资金进入上述账户，12月1日至12月12日陆续买入“</w:t>
      </w:r>
      <w:r w:rsidRPr="00324A5F">
        <w:rPr>
          <w:rFonts w:ascii="楷体" w:eastAsia="楷体" w:hAnsi="楷体" w:cs="宋体" w:hint="eastAsia"/>
          <w:color w:val="000000"/>
          <w:kern w:val="0"/>
          <w:sz w:val="24"/>
          <w:szCs w:val="24"/>
        </w:rPr>
        <w:t>光正集团</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。启用账户时间、将账户交给他人操作时间、资金划转时间与内幕信息形成过程以及张建国与周某麟的联络、接触时间高度吻合。此外，张建国称涉案账户同期</w:t>
      </w:r>
      <w:proofErr w:type="gramStart"/>
      <w:r w:rsidRPr="00324A5F">
        <w:rPr>
          <w:rFonts w:ascii="楷体" w:eastAsia="楷体" w:hAnsi="楷体" w:cs="宋体" w:hint="eastAsia"/>
          <w:color w:val="000000"/>
          <w:kern w:val="0"/>
          <w:sz w:val="24"/>
          <w:szCs w:val="24"/>
        </w:rPr>
        <w:t>还交易</w:t>
      </w:r>
      <w:proofErr w:type="gramEnd"/>
      <w:r w:rsidRPr="00324A5F">
        <w:rPr>
          <w:rFonts w:ascii="楷体" w:eastAsia="楷体" w:hAnsi="楷体" w:cs="宋体" w:hint="eastAsia"/>
          <w:color w:val="000000"/>
          <w:kern w:val="0"/>
          <w:sz w:val="24"/>
          <w:szCs w:val="24"/>
        </w:rPr>
        <w:t>其他股票，但这些股票买入金额、交易风格与</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光正集团</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存在明显不同。</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第五，本案中，我会调取的证据足以证明当事人在内幕信息公开前与内幕信息知情人联络、接触，</w:t>
      </w:r>
      <w:proofErr w:type="gramStart"/>
      <w:r w:rsidRPr="00324A5F">
        <w:rPr>
          <w:rFonts w:ascii="楷体" w:eastAsia="楷体" w:hAnsi="楷体" w:cs="宋体" w:hint="eastAsia"/>
          <w:color w:val="000000"/>
          <w:kern w:val="0"/>
          <w:sz w:val="24"/>
          <w:szCs w:val="24"/>
        </w:rPr>
        <w:t>并交易</w:t>
      </w:r>
      <w:proofErr w:type="gramEnd"/>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光正集团</w:t>
      </w:r>
      <w:r w:rsidRPr="00324A5F">
        <w:rPr>
          <w:rFonts w:ascii="楷体" w:eastAsia="楷体" w:hAnsi="楷体" w:cs="宋体" w:hint="eastAsia"/>
          <w:color w:val="000000"/>
          <w:kern w:val="0"/>
          <w:szCs w:val="21"/>
        </w:rPr>
        <w:t>”</w:t>
      </w:r>
      <w:r w:rsidRPr="00324A5F">
        <w:rPr>
          <w:rFonts w:ascii="楷体" w:eastAsia="楷体" w:hAnsi="楷体" w:cs="宋体" w:hint="eastAsia"/>
          <w:color w:val="000000"/>
          <w:kern w:val="0"/>
          <w:sz w:val="24"/>
          <w:szCs w:val="24"/>
        </w:rPr>
        <w:t>，且其交易活动明显异常，相关事实清楚、证据充分。同时，在执法过程中，我会收集了对当事人有利的证据，并依法给予当事人申述、申辩和举证的机会，但当事人所提事实、理由和证据不足以推翻我会的认定，我会在此基础上对其</w:t>
      </w:r>
      <w:proofErr w:type="gramStart"/>
      <w:r w:rsidRPr="00324A5F">
        <w:rPr>
          <w:rFonts w:ascii="楷体" w:eastAsia="楷体" w:hAnsi="楷体" w:cs="宋体" w:hint="eastAsia"/>
          <w:color w:val="000000"/>
          <w:kern w:val="0"/>
          <w:sz w:val="24"/>
          <w:szCs w:val="24"/>
        </w:rPr>
        <w:t>作出</w:t>
      </w:r>
      <w:proofErr w:type="gramEnd"/>
      <w:r w:rsidRPr="00324A5F">
        <w:rPr>
          <w:rFonts w:ascii="楷体" w:eastAsia="楷体" w:hAnsi="楷体" w:cs="宋体" w:hint="eastAsia"/>
          <w:color w:val="000000"/>
          <w:kern w:val="0"/>
          <w:sz w:val="24"/>
          <w:szCs w:val="24"/>
        </w:rPr>
        <w:t>处罚，举证责任分配并无不当。</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综上，张建国相关行为违反《证券法》第七十三条、第七十六条第一款规定，构成第二百零二条所述内幕交易行为。</w:t>
      </w:r>
    </w:p>
    <w:p w:rsidR="00324A5F" w:rsidRPr="00324A5F" w:rsidRDefault="00324A5F" w:rsidP="00324A5F">
      <w:pPr>
        <w:widowControl/>
        <w:shd w:val="clear" w:color="auto" w:fill="FFFFFF"/>
        <w:spacing w:line="560" w:lineRule="atLeast"/>
        <w:ind w:firstLine="436"/>
        <w:jc w:val="lef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根据当事人违法行为的事实、性质、情节与社会危害程度，依据《证券法》第二百零二条规定，我会决定：对张建国没收违法所得</w:t>
      </w:r>
      <w:r w:rsidRPr="00324A5F">
        <w:rPr>
          <w:rFonts w:ascii="楷体" w:eastAsia="楷体" w:hAnsi="楷体" w:cs="宋体" w:hint="eastAsia"/>
          <w:color w:val="000000"/>
          <w:kern w:val="0"/>
          <w:szCs w:val="21"/>
        </w:rPr>
        <w:t>2,670,161元，并处以5,340,322元</w:t>
      </w:r>
      <w:r w:rsidRPr="00324A5F">
        <w:rPr>
          <w:rFonts w:ascii="楷体" w:eastAsia="楷体" w:hAnsi="楷体" w:cs="宋体" w:hint="eastAsia"/>
          <w:color w:val="000000"/>
          <w:kern w:val="0"/>
          <w:sz w:val="24"/>
          <w:szCs w:val="24"/>
        </w:rPr>
        <w:t>罚款。</w:t>
      </w:r>
    </w:p>
    <w:p w:rsidR="00324A5F" w:rsidRPr="00324A5F" w:rsidRDefault="00324A5F" w:rsidP="00324A5F">
      <w:pPr>
        <w:widowControl/>
        <w:shd w:val="clear" w:color="auto" w:fill="FFFFFF"/>
        <w:spacing w:line="560" w:lineRule="atLeast"/>
        <w:ind w:firstLine="436"/>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上述当事人应自收到本处罚决定书之日起</w:t>
      </w:r>
      <w:r w:rsidRPr="00324A5F">
        <w:rPr>
          <w:rFonts w:ascii="楷体" w:eastAsia="楷体" w:hAnsi="楷体" w:cs="宋体" w:hint="eastAsia"/>
          <w:color w:val="000000"/>
          <w:kern w:val="0"/>
          <w:szCs w:val="21"/>
        </w:rPr>
        <w:t>15日内，将罚</w:t>
      </w:r>
      <w:r w:rsidRPr="00324A5F">
        <w:rPr>
          <w:rFonts w:ascii="楷体" w:eastAsia="楷体" w:hAnsi="楷体" w:cs="宋体" w:hint="eastAsia"/>
          <w:color w:val="000000"/>
          <w:kern w:val="0"/>
          <w:sz w:val="24"/>
          <w:szCs w:val="24"/>
        </w:rPr>
        <w:t>没款汇交中国证券监督管理委员会（财政</w:t>
      </w:r>
      <w:proofErr w:type="gramStart"/>
      <w:r w:rsidRPr="00324A5F">
        <w:rPr>
          <w:rFonts w:ascii="楷体" w:eastAsia="楷体" w:hAnsi="楷体" w:cs="宋体" w:hint="eastAsia"/>
          <w:color w:val="000000"/>
          <w:kern w:val="0"/>
          <w:sz w:val="24"/>
          <w:szCs w:val="24"/>
        </w:rPr>
        <w:t>汇缴专户</w:t>
      </w:r>
      <w:proofErr w:type="gramEnd"/>
      <w:r w:rsidRPr="00324A5F">
        <w:rPr>
          <w:rFonts w:ascii="楷体" w:eastAsia="楷体" w:hAnsi="楷体" w:cs="宋体" w:hint="eastAsia"/>
          <w:color w:val="000000"/>
          <w:kern w:val="0"/>
          <w:sz w:val="24"/>
          <w:szCs w:val="24"/>
        </w:rPr>
        <w:t>），开户银行：中信银行北京分行营业部，账号：</w:t>
      </w:r>
      <w:r w:rsidRPr="00324A5F">
        <w:rPr>
          <w:rFonts w:ascii="楷体" w:eastAsia="楷体" w:hAnsi="楷体" w:cs="宋体" w:hint="eastAsia"/>
          <w:color w:val="000000"/>
          <w:kern w:val="0"/>
          <w:szCs w:val="21"/>
        </w:rPr>
        <w:t>7111010189800000162，由该行直接上缴国库</w:t>
      </w:r>
      <w:r w:rsidRPr="00324A5F">
        <w:rPr>
          <w:rFonts w:ascii="楷体" w:eastAsia="楷体" w:hAnsi="楷体" w:cs="宋体" w:hint="eastAsia"/>
          <w:color w:val="000000"/>
          <w:kern w:val="0"/>
          <w:sz w:val="24"/>
          <w:szCs w:val="24"/>
        </w:rPr>
        <w:t>。当事人还应将注有其姓名的付款凭证复印件送中国证券监督管理委员会稽查局备案。当事人如果对本处罚决定不服，可在收到本处罚决定书之日起</w:t>
      </w:r>
      <w:r w:rsidRPr="00324A5F">
        <w:rPr>
          <w:rFonts w:ascii="楷体" w:eastAsia="楷体" w:hAnsi="楷体" w:cs="宋体" w:hint="eastAsia"/>
          <w:color w:val="000000"/>
          <w:kern w:val="0"/>
          <w:szCs w:val="21"/>
        </w:rPr>
        <w:t xml:space="preserve">60日内向中国证券监督管理委员会申请行政复议，也可在收到本处罚决定书之日起6个月内直接向有管辖权的人民法院提起行政诉讼。复议和诉讼期间，上述决定不停止执行。　　　　　　　　　　　</w:t>
      </w:r>
    </w:p>
    <w:p w:rsidR="00324A5F" w:rsidRPr="00324A5F" w:rsidRDefault="00324A5F" w:rsidP="00324A5F">
      <w:pPr>
        <w:widowControl/>
        <w:shd w:val="clear" w:color="auto" w:fill="FFFFFF"/>
        <w:spacing w:line="408" w:lineRule="atLeast"/>
        <w:rPr>
          <w:rFonts w:ascii="楷体" w:eastAsia="楷体" w:hAnsi="楷体" w:cs="宋体" w:hint="eastAsia"/>
          <w:color w:val="000000"/>
          <w:kern w:val="0"/>
          <w:sz w:val="24"/>
          <w:szCs w:val="24"/>
        </w:rPr>
      </w:pPr>
      <w:r w:rsidRPr="00324A5F">
        <w:rPr>
          <w:rFonts w:ascii="Calibri" w:eastAsia="楷体" w:hAnsi="Calibri" w:cs="Calibri"/>
          <w:color w:val="000000"/>
          <w:kern w:val="0"/>
          <w:sz w:val="24"/>
          <w:szCs w:val="24"/>
        </w:rPr>
        <w:t> </w:t>
      </w:r>
    </w:p>
    <w:p w:rsidR="00324A5F" w:rsidRPr="00324A5F" w:rsidRDefault="00324A5F" w:rsidP="00324A5F">
      <w:pPr>
        <w:widowControl/>
        <w:shd w:val="clear" w:color="auto" w:fill="FFFFFF"/>
        <w:spacing w:line="408" w:lineRule="atLeast"/>
        <w:rPr>
          <w:rFonts w:ascii="楷体" w:eastAsia="楷体" w:hAnsi="楷体" w:cs="宋体" w:hint="eastAsia"/>
          <w:color w:val="000000"/>
          <w:kern w:val="0"/>
          <w:sz w:val="24"/>
          <w:szCs w:val="24"/>
        </w:rPr>
      </w:pPr>
      <w:r w:rsidRPr="00324A5F">
        <w:rPr>
          <w:rFonts w:ascii="Calibri" w:eastAsia="楷体" w:hAnsi="Calibri" w:cs="Calibri"/>
          <w:color w:val="000000"/>
          <w:kern w:val="0"/>
          <w:sz w:val="24"/>
          <w:szCs w:val="24"/>
        </w:rPr>
        <w:t> </w:t>
      </w:r>
    </w:p>
    <w:p w:rsidR="00324A5F" w:rsidRPr="00324A5F" w:rsidRDefault="00324A5F" w:rsidP="00324A5F">
      <w:pPr>
        <w:widowControl/>
        <w:shd w:val="clear" w:color="auto" w:fill="FFFFFF"/>
        <w:spacing w:line="560" w:lineRule="atLeast"/>
        <w:jc w:val="left"/>
        <w:rPr>
          <w:rFonts w:ascii="楷体" w:eastAsia="楷体" w:hAnsi="楷体" w:cs="宋体" w:hint="eastAsia"/>
          <w:color w:val="000000"/>
          <w:kern w:val="0"/>
          <w:sz w:val="24"/>
          <w:szCs w:val="24"/>
        </w:rPr>
      </w:pPr>
      <w:r w:rsidRPr="00324A5F">
        <w:rPr>
          <w:rFonts w:ascii="Calibri" w:eastAsia="楷体" w:hAnsi="Calibri" w:cs="Calibri"/>
          <w:color w:val="000000"/>
          <w:kern w:val="0"/>
          <w:sz w:val="24"/>
          <w:szCs w:val="24"/>
        </w:rPr>
        <w:lastRenderedPageBreak/>
        <w:t> </w:t>
      </w:r>
    </w:p>
    <w:p w:rsidR="00324A5F" w:rsidRPr="00324A5F" w:rsidRDefault="00324A5F" w:rsidP="00324A5F">
      <w:pPr>
        <w:widowControl/>
        <w:shd w:val="clear" w:color="auto" w:fill="FFFFFF"/>
        <w:spacing w:line="560" w:lineRule="atLeast"/>
        <w:jc w:val="left"/>
        <w:rPr>
          <w:rFonts w:ascii="楷体" w:eastAsia="楷体" w:hAnsi="楷体" w:cs="宋体" w:hint="eastAsia"/>
          <w:color w:val="000000"/>
          <w:kern w:val="0"/>
          <w:sz w:val="24"/>
          <w:szCs w:val="24"/>
        </w:rPr>
      </w:pPr>
      <w:r w:rsidRPr="00324A5F">
        <w:rPr>
          <w:rFonts w:ascii="Calibri" w:eastAsia="楷体" w:hAnsi="Calibri" w:cs="Calibri"/>
          <w:color w:val="000000"/>
          <w:kern w:val="0"/>
          <w:sz w:val="24"/>
          <w:szCs w:val="24"/>
        </w:rPr>
        <w:t> </w:t>
      </w:r>
    </w:p>
    <w:p w:rsidR="00324A5F" w:rsidRPr="00324A5F" w:rsidRDefault="00324A5F" w:rsidP="00324A5F">
      <w:pPr>
        <w:widowControl/>
        <w:shd w:val="clear" w:color="auto" w:fill="FFFFFF"/>
        <w:wordWrap w:val="0"/>
        <w:spacing w:line="560" w:lineRule="atLeast"/>
        <w:jc w:val="right"/>
        <w:rPr>
          <w:rFonts w:ascii="楷体" w:eastAsia="楷体" w:hAnsi="楷体" w:cs="宋体" w:hint="eastAsia"/>
          <w:color w:val="000000"/>
          <w:kern w:val="0"/>
          <w:sz w:val="24"/>
          <w:szCs w:val="24"/>
        </w:rPr>
      </w:pPr>
      <w:r w:rsidRPr="00324A5F">
        <w:rPr>
          <w:rFonts w:ascii="楷体" w:eastAsia="楷体" w:hAnsi="楷体" w:cs="宋体" w:hint="eastAsia"/>
          <w:color w:val="000000"/>
          <w:kern w:val="0"/>
          <w:sz w:val="24"/>
          <w:szCs w:val="24"/>
        </w:rPr>
        <w:t>中国证监会</w:t>
      </w:r>
      <w:r w:rsidRPr="00324A5F">
        <w:rPr>
          <w:rFonts w:ascii="楷体" w:eastAsia="楷体" w:hAnsi="楷体" w:cs="宋体" w:hint="eastAsia"/>
          <w:color w:val="000000"/>
          <w:kern w:val="0"/>
          <w:szCs w:val="21"/>
        </w:rPr>
        <w:t xml:space="preserve">　　</w:t>
      </w:r>
      <w:r w:rsidRPr="00324A5F">
        <w:rPr>
          <w:rFonts w:ascii="Calibri" w:eastAsia="楷体" w:hAnsi="Calibri" w:cs="Calibri"/>
          <w:color w:val="000000"/>
          <w:kern w:val="0"/>
          <w:szCs w:val="21"/>
        </w:rPr>
        <w:t> </w:t>
      </w:r>
      <w:r w:rsidRPr="00324A5F">
        <w:rPr>
          <w:rFonts w:ascii="Calibri" w:eastAsia="楷体" w:hAnsi="Calibri" w:cs="Calibri"/>
          <w:color w:val="000000"/>
          <w:kern w:val="0"/>
          <w:sz w:val="24"/>
          <w:szCs w:val="24"/>
        </w:rPr>
        <w:t> </w:t>
      </w:r>
      <w:r w:rsidRPr="00324A5F">
        <w:rPr>
          <w:rFonts w:ascii="楷体" w:eastAsia="楷体" w:hAnsi="楷体" w:cs="宋体" w:hint="eastAsia"/>
          <w:color w:val="000000"/>
          <w:kern w:val="0"/>
          <w:szCs w:val="21"/>
        </w:rPr>
        <w:t xml:space="preserve">　　</w:t>
      </w:r>
    </w:p>
    <w:p w:rsidR="00324A5F" w:rsidRPr="00324A5F" w:rsidRDefault="00324A5F" w:rsidP="00324A5F">
      <w:pPr>
        <w:widowControl/>
        <w:shd w:val="clear" w:color="auto" w:fill="FFFFFF"/>
        <w:wordWrap w:val="0"/>
        <w:spacing w:line="560" w:lineRule="atLeast"/>
        <w:jc w:val="right"/>
        <w:rPr>
          <w:rFonts w:ascii="楷体" w:eastAsia="楷体" w:hAnsi="楷体" w:cs="宋体" w:hint="eastAsia"/>
          <w:color w:val="000000"/>
          <w:kern w:val="0"/>
          <w:sz w:val="24"/>
          <w:szCs w:val="24"/>
        </w:rPr>
      </w:pPr>
      <w:r w:rsidRPr="00324A5F">
        <w:rPr>
          <w:rFonts w:ascii="楷体" w:eastAsia="楷体" w:hAnsi="楷体" w:cs="宋体" w:hint="eastAsia"/>
          <w:color w:val="000000"/>
          <w:kern w:val="0"/>
          <w:szCs w:val="21"/>
        </w:rPr>
        <w:t xml:space="preserve">2019年8月30日　　</w:t>
      </w:r>
      <w:proofErr w:type="gramStart"/>
      <w:r w:rsidRPr="00324A5F">
        <w:rPr>
          <w:rFonts w:ascii="楷体" w:eastAsia="楷体" w:hAnsi="楷体" w:cs="宋体" w:hint="eastAsia"/>
          <w:color w:val="000000"/>
          <w:kern w:val="0"/>
          <w:szCs w:val="21"/>
        </w:rPr>
        <w:t xml:space="preserve">　　</w:t>
      </w:r>
      <w:proofErr w:type="gramEnd"/>
    </w:p>
    <w:p w:rsidR="00324A5F" w:rsidRPr="00324A5F" w:rsidRDefault="00324A5F" w:rsidP="00324A5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24A5F" w:rsidRPr="00324A5F" w:rsidTr="00324A5F">
        <w:trPr>
          <w:tblCellSpacing w:w="15" w:type="dxa"/>
          <w:jc w:val="center"/>
        </w:trPr>
        <w:tc>
          <w:tcPr>
            <w:tcW w:w="900" w:type="dxa"/>
            <w:vAlign w:val="center"/>
            <w:hideMark/>
          </w:tcPr>
          <w:p w:rsidR="00324A5F" w:rsidRPr="00324A5F" w:rsidRDefault="00324A5F" w:rsidP="00324A5F">
            <w:pPr>
              <w:widowControl/>
              <w:jc w:val="left"/>
              <w:rPr>
                <w:rFonts w:ascii="宋体" w:eastAsia="宋体" w:hAnsi="宋体" w:cs="宋体" w:hint="eastAsia"/>
                <w:kern w:val="0"/>
                <w:sz w:val="18"/>
                <w:szCs w:val="18"/>
              </w:rPr>
            </w:pPr>
            <w:r w:rsidRPr="00324A5F">
              <w:rPr>
                <w:rFonts w:ascii="宋体" w:eastAsia="宋体" w:hAnsi="宋体" w:cs="宋体"/>
                <w:kern w:val="0"/>
                <w:sz w:val="18"/>
                <w:szCs w:val="18"/>
              </w:rPr>
              <w:t> </w:t>
            </w:r>
          </w:p>
        </w:tc>
        <w:tc>
          <w:tcPr>
            <w:tcW w:w="1200" w:type="dxa"/>
            <w:vAlign w:val="center"/>
            <w:hideMark/>
          </w:tcPr>
          <w:p w:rsidR="00324A5F" w:rsidRPr="00324A5F" w:rsidRDefault="00324A5F" w:rsidP="00324A5F">
            <w:pPr>
              <w:widowControl/>
              <w:jc w:val="left"/>
              <w:rPr>
                <w:rFonts w:ascii="宋体" w:eastAsia="宋体" w:hAnsi="宋体" w:cs="宋体"/>
                <w:kern w:val="0"/>
                <w:sz w:val="18"/>
                <w:szCs w:val="18"/>
              </w:rPr>
            </w:pPr>
            <w:r w:rsidRPr="00324A5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24A5F" w:rsidRPr="00324A5F" w:rsidRDefault="00324A5F" w:rsidP="00324A5F">
            <w:pPr>
              <w:widowControl/>
              <w:jc w:val="left"/>
              <w:rPr>
                <w:rFonts w:ascii="宋体" w:eastAsia="宋体" w:hAnsi="宋体" w:cs="宋体"/>
                <w:kern w:val="0"/>
                <w:sz w:val="18"/>
                <w:szCs w:val="18"/>
              </w:rPr>
            </w:pPr>
            <w:r w:rsidRPr="00324A5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24A5F" w:rsidRPr="00324A5F" w:rsidRDefault="00324A5F" w:rsidP="00324A5F">
            <w:pPr>
              <w:widowControl/>
              <w:jc w:val="left"/>
              <w:rPr>
                <w:rFonts w:ascii="宋体" w:eastAsia="宋体" w:hAnsi="宋体" w:cs="宋体"/>
                <w:kern w:val="0"/>
                <w:sz w:val="18"/>
                <w:szCs w:val="18"/>
              </w:rPr>
            </w:pPr>
            <w:r w:rsidRPr="00324A5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24A5F" w:rsidRPr="00324A5F" w:rsidRDefault="00324A5F" w:rsidP="00324A5F">
      <w:pPr>
        <w:widowControl/>
        <w:jc w:val="center"/>
        <w:rPr>
          <w:rFonts w:ascii="微软雅黑" w:eastAsia="微软雅黑" w:hAnsi="微软雅黑" w:cs="宋体"/>
          <w:color w:val="515151"/>
          <w:kern w:val="0"/>
          <w:sz w:val="18"/>
          <w:szCs w:val="18"/>
        </w:rPr>
      </w:pPr>
      <w:hyperlink r:id="rId11" w:tgtFrame="_blank" w:history="1">
        <w:r w:rsidRPr="00324A5F">
          <w:rPr>
            <w:rFonts w:ascii="微软雅黑" w:eastAsia="微软雅黑" w:hAnsi="微软雅黑" w:cs="宋体" w:hint="eastAsia"/>
            <w:color w:val="0000FF"/>
            <w:kern w:val="0"/>
            <w:sz w:val="18"/>
            <w:szCs w:val="18"/>
            <w:u w:val="single"/>
          </w:rPr>
          <w:t>关于我们</w:t>
        </w:r>
      </w:hyperlink>
      <w:r w:rsidRPr="00324A5F">
        <w:rPr>
          <w:rFonts w:ascii="微软雅黑" w:eastAsia="微软雅黑" w:hAnsi="微软雅黑" w:cs="宋体" w:hint="eastAsia"/>
          <w:color w:val="515151"/>
          <w:kern w:val="0"/>
          <w:sz w:val="18"/>
          <w:szCs w:val="18"/>
        </w:rPr>
        <w:t> - </w:t>
      </w:r>
      <w:hyperlink r:id="rId12" w:tgtFrame="_blank" w:history="1">
        <w:r w:rsidRPr="00324A5F">
          <w:rPr>
            <w:rFonts w:ascii="微软雅黑" w:eastAsia="微软雅黑" w:hAnsi="微软雅黑" w:cs="宋体" w:hint="eastAsia"/>
            <w:color w:val="0000FF"/>
            <w:kern w:val="0"/>
            <w:sz w:val="18"/>
            <w:szCs w:val="18"/>
            <w:u w:val="single"/>
          </w:rPr>
          <w:t>法律声明</w:t>
        </w:r>
      </w:hyperlink>
      <w:r w:rsidRPr="00324A5F">
        <w:rPr>
          <w:rFonts w:ascii="微软雅黑" w:eastAsia="微软雅黑" w:hAnsi="微软雅黑" w:cs="宋体" w:hint="eastAsia"/>
          <w:color w:val="515151"/>
          <w:kern w:val="0"/>
          <w:sz w:val="18"/>
          <w:szCs w:val="18"/>
        </w:rPr>
        <w:t> - </w:t>
      </w:r>
      <w:hyperlink r:id="rId13" w:tgtFrame="_blank" w:history="1">
        <w:r w:rsidRPr="00324A5F">
          <w:rPr>
            <w:rFonts w:ascii="微软雅黑" w:eastAsia="微软雅黑" w:hAnsi="微软雅黑" w:cs="宋体" w:hint="eastAsia"/>
            <w:color w:val="0000FF"/>
            <w:kern w:val="0"/>
            <w:sz w:val="18"/>
            <w:szCs w:val="18"/>
            <w:u w:val="single"/>
          </w:rPr>
          <w:t>联系我们</w:t>
        </w:r>
      </w:hyperlink>
    </w:p>
    <w:p w:rsidR="00324A5F" w:rsidRPr="00324A5F" w:rsidRDefault="00324A5F" w:rsidP="00324A5F">
      <w:pPr>
        <w:widowControl/>
        <w:jc w:val="center"/>
        <w:rPr>
          <w:rFonts w:ascii="微软雅黑" w:eastAsia="微软雅黑" w:hAnsi="微软雅黑" w:cs="宋体" w:hint="eastAsia"/>
          <w:color w:val="515151"/>
          <w:kern w:val="0"/>
          <w:sz w:val="18"/>
          <w:szCs w:val="18"/>
        </w:rPr>
      </w:pPr>
      <w:r w:rsidRPr="00324A5F">
        <w:rPr>
          <w:rFonts w:ascii="微软雅黑" w:eastAsia="微软雅黑" w:hAnsi="微软雅黑" w:cs="宋体" w:hint="eastAsia"/>
          <w:color w:val="515151"/>
          <w:kern w:val="0"/>
          <w:sz w:val="18"/>
          <w:szCs w:val="18"/>
        </w:rPr>
        <w:t>版权所有：中国证券监督管理委员会 京ICP备 05035542号</w:t>
      </w:r>
    </w:p>
    <w:p w:rsidR="00324A5F" w:rsidRPr="00324A5F" w:rsidRDefault="00324A5F" w:rsidP="00324A5F">
      <w:pPr>
        <w:widowControl/>
        <w:jc w:val="center"/>
        <w:rPr>
          <w:rFonts w:ascii="微软雅黑" w:eastAsia="微软雅黑" w:hAnsi="微软雅黑" w:cs="宋体" w:hint="eastAsia"/>
          <w:color w:val="515151"/>
          <w:kern w:val="0"/>
          <w:sz w:val="18"/>
          <w:szCs w:val="18"/>
        </w:rPr>
      </w:pPr>
      <w:r w:rsidRPr="00324A5F">
        <w:rPr>
          <w:rFonts w:ascii="微软雅黑" w:eastAsia="微软雅黑" w:hAnsi="微软雅黑" w:cs="宋体" w:hint="eastAsia"/>
          <w:color w:val="515151"/>
          <w:kern w:val="0"/>
          <w:sz w:val="18"/>
          <w:szCs w:val="18"/>
        </w:rPr>
        <w:t>地址：北京市西城区金融大街19号富凯大厦A座 邮编：100033</w:t>
      </w:r>
    </w:p>
    <w:p w:rsidR="00324A5F" w:rsidRPr="00324A5F" w:rsidRDefault="00324A5F" w:rsidP="00324A5F">
      <w:pPr>
        <w:widowControl/>
        <w:jc w:val="center"/>
        <w:rPr>
          <w:rFonts w:ascii="微软雅黑" w:eastAsia="微软雅黑" w:hAnsi="微软雅黑" w:cs="宋体" w:hint="eastAsia"/>
          <w:color w:val="515151"/>
          <w:kern w:val="0"/>
          <w:sz w:val="18"/>
          <w:szCs w:val="18"/>
        </w:rPr>
      </w:pPr>
      <w:r w:rsidRPr="00324A5F">
        <w:rPr>
          <w:rFonts w:ascii="微软雅黑" w:eastAsia="微软雅黑" w:hAnsi="微软雅黑" w:cs="宋体" w:hint="eastAsia"/>
          <w:color w:val="515151"/>
          <w:kern w:val="0"/>
          <w:sz w:val="18"/>
          <w:szCs w:val="18"/>
        </w:rPr>
        <w:t>建议使用IE5.5以上浏览器，分辨率1024*768</w:t>
      </w:r>
    </w:p>
    <w:p w:rsidR="00F71849" w:rsidRPr="00324A5F" w:rsidRDefault="00F71849"/>
    <w:sectPr w:rsidR="00F71849" w:rsidRPr="00324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5F"/>
    <w:rsid w:val="00324A5F"/>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5206B-78AC-46A6-ABC5-05B5712A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4A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4A5F"/>
    <w:rPr>
      <w:b/>
      <w:bCs/>
    </w:rPr>
  </w:style>
  <w:style w:type="character" w:styleId="a5">
    <w:name w:val="Hyperlink"/>
    <w:basedOn w:val="a0"/>
    <w:uiPriority w:val="99"/>
    <w:semiHidden/>
    <w:unhideWhenUsed/>
    <w:rsid w:val="00324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408820">
      <w:bodyDiv w:val="1"/>
      <w:marLeft w:val="0"/>
      <w:marRight w:val="0"/>
      <w:marTop w:val="0"/>
      <w:marBottom w:val="0"/>
      <w:divBdr>
        <w:top w:val="none" w:sz="0" w:space="0" w:color="auto"/>
        <w:left w:val="none" w:sz="0" w:space="0" w:color="auto"/>
        <w:bottom w:val="none" w:sz="0" w:space="0" w:color="auto"/>
        <w:right w:val="none" w:sz="0" w:space="0" w:color="auto"/>
      </w:divBdr>
      <w:divsChild>
        <w:div w:id="1081176205">
          <w:marLeft w:val="0"/>
          <w:marRight w:val="0"/>
          <w:marTop w:val="150"/>
          <w:marBottom w:val="150"/>
          <w:divBdr>
            <w:top w:val="none" w:sz="0" w:space="0" w:color="auto"/>
            <w:left w:val="none" w:sz="0" w:space="0" w:color="auto"/>
            <w:bottom w:val="none" w:sz="0" w:space="0" w:color="auto"/>
            <w:right w:val="none" w:sz="0" w:space="0" w:color="auto"/>
          </w:divBdr>
        </w:div>
        <w:div w:id="1855149175">
          <w:marLeft w:val="0"/>
          <w:marRight w:val="0"/>
          <w:marTop w:val="0"/>
          <w:marBottom w:val="0"/>
          <w:divBdr>
            <w:top w:val="single" w:sz="6" w:space="8" w:color="B5B5B5"/>
            <w:left w:val="single" w:sz="6" w:space="0" w:color="B5B5B5"/>
            <w:bottom w:val="single" w:sz="6" w:space="8" w:color="B5B5B5"/>
            <w:right w:val="single" w:sz="6" w:space="0" w:color="B5B5B5"/>
          </w:divBdr>
          <w:divsChild>
            <w:div w:id="1768884596">
              <w:marLeft w:val="0"/>
              <w:marRight w:val="0"/>
              <w:marTop w:val="0"/>
              <w:marBottom w:val="0"/>
              <w:divBdr>
                <w:top w:val="none" w:sz="0" w:space="0" w:color="auto"/>
                <w:left w:val="none" w:sz="0" w:space="0" w:color="auto"/>
                <w:bottom w:val="none" w:sz="0" w:space="0" w:color="auto"/>
                <w:right w:val="none" w:sz="0" w:space="0" w:color="auto"/>
              </w:divBdr>
            </w:div>
            <w:div w:id="806969341">
              <w:marLeft w:val="0"/>
              <w:marRight w:val="0"/>
              <w:marTop w:val="0"/>
              <w:marBottom w:val="0"/>
              <w:divBdr>
                <w:top w:val="none" w:sz="0" w:space="0" w:color="auto"/>
                <w:left w:val="none" w:sz="0" w:space="0" w:color="auto"/>
                <w:bottom w:val="none" w:sz="0" w:space="0" w:color="auto"/>
                <w:right w:val="none" w:sz="0" w:space="0" w:color="auto"/>
              </w:divBdr>
            </w:div>
            <w:div w:id="77295533">
              <w:marLeft w:val="0"/>
              <w:marRight w:val="0"/>
              <w:marTop w:val="120"/>
              <w:marBottom w:val="120"/>
              <w:divBdr>
                <w:top w:val="none" w:sz="0" w:space="0" w:color="auto"/>
                <w:left w:val="none" w:sz="0" w:space="0" w:color="auto"/>
                <w:bottom w:val="none" w:sz="0" w:space="0" w:color="auto"/>
                <w:right w:val="none" w:sz="0" w:space="0" w:color="auto"/>
              </w:divBdr>
            </w:div>
          </w:divsChild>
        </w:div>
        <w:div w:id="1888754501">
          <w:marLeft w:val="0"/>
          <w:marRight w:val="0"/>
          <w:marTop w:val="120"/>
          <w:marBottom w:val="0"/>
          <w:divBdr>
            <w:top w:val="none" w:sz="0" w:space="0" w:color="auto"/>
            <w:left w:val="none" w:sz="0" w:space="0" w:color="auto"/>
            <w:bottom w:val="none" w:sz="0" w:space="0" w:color="auto"/>
            <w:right w:val="none" w:sz="0" w:space="0" w:color="auto"/>
          </w:divBdr>
          <w:divsChild>
            <w:div w:id="12417696">
              <w:marLeft w:val="0"/>
              <w:marRight w:val="0"/>
              <w:marTop w:val="60"/>
              <w:marBottom w:val="0"/>
              <w:divBdr>
                <w:top w:val="none" w:sz="0" w:space="0" w:color="auto"/>
                <w:left w:val="none" w:sz="0" w:space="0" w:color="auto"/>
                <w:bottom w:val="none" w:sz="0" w:space="0" w:color="auto"/>
                <w:right w:val="none" w:sz="0" w:space="0" w:color="auto"/>
              </w:divBdr>
            </w:div>
            <w:div w:id="1784226199">
              <w:marLeft w:val="0"/>
              <w:marRight w:val="0"/>
              <w:marTop w:val="60"/>
              <w:marBottom w:val="0"/>
              <w:divBdr>
                <w:top w:val="none" w:sz="0" w:space="0" w:color="auto"/>
                <w:left w:val="none" w:sz="0" w:space="0" w:color="auto"/>
                <w:bottom w:val="none" w:sz="0" w:space="0" w:color="auto"/>
                <w:right w:val="none" w:sz="0" w:space="0" w:color="auto"/>
              </w:divBdr>
            </w:div>
            <w:div w:id="1000502533">
              <w:marLeft w:val="0"/>
              <w:marRight w:val="0"/>
              <w:marTop w:val="60"/>
              <w:marBottom w:val="0"/>
              <w:divBdr>
                <w:top w:val="none" w:sz="0" w:space="0" w:color="auto"/>
                <w:left w:val="none" w:sz="0" w:space="0" w:color="auto"/>
                <w:bottom w:val="none" w:sz="0" w:space="0" w:color="auto"/>
                <w:right w:val="none" w:sz="0" w:space="0" w:color="auto"/>
              </w:divBdr>
            </w:div>
            <w:div w:id="16173232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9/t20190912_36185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2020-02-13T15:23:00Z</dcterms:created>
  <dcterms:modified xsi:type="dcterms:W3CDTF">2020-02-13T15:24:00Z</dcterms:modified>
</cp:coreProperties>
</file>