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C6E" w:rsidRPr="00B97C6E" w:rsidRDefault="00B97C6E" w:rsidP="00B97C6E">
      <w:pPr>
        <w:widowControl/>
        <w:jc w:val="center"/>
        <w:rPr>
          <w:rFonts w:ascii="微软雅黑" w:eastAsia="微软雅黑" w:hAnsi="微软雅黑" w:cs="宋体"/>
          <w:color w:val="000000"/>
          <w:kern w:val="0"/>
          <w:sz w:val="18"/>
          <w:szCs w:val="18"/>
        </w:rPr>
      </w:pPr>
      <w:r w:rsidRPr="00B97C6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B97C6E" w:rsidRPr="00B97C6E" w:rsidTr="00B97C6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C6E" w:rsidRPr="00B97C6E">
              <w:trPr>
                <w:tblCellSpacing w:w="0" w:type="dxa"/>
              </w:trPr>
              <w:tc>
                <w:tcPr>
                  <w:tcW w:w="2500" w:type="pct"/>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hint="eastAsia"/>
                      <w:color w:val="686868"/>
                      <w:kern w:val="0"/>
                      <w:sz w:val="18"/>
                      <w:szCs w:val="18"/>
                    </w:rPr>
                  </w:pPr>
                  <w:r w:rsidRPr="00B97C6E">
                    <w:rPr>
                      <w:rFonts w:ascii="宋体" w:eastAsia="宋体" w:hAnsi="宋体" w:cs="宋体"/>
                      <w:b/>
                      <w:bCs/>
                      <w:color w:val="686868"/>
                      <w:kern w:val="0"/>
                      <w:sz w:val="18"/>
                      <w:szCs w:val="18"/>
                    </w:rPr>
                    <w:t>索 引 号:</w:t>
                  </w:r>
                  <w:r w:rsidRPr="00B97C6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分类:</w:t>
                  </w:r>
                  <w:r w:rsidRPr="00B97C6E">
                    <w:rPr>
                      <w:rFonts w:ascii="宋体" w:eastAsia="宋体" w:hAnsi="宋体" w:cs="宋体"/>
                      <w:color w:val="686868"/>
                      <w:kern w:val="0"/>
                      <w:sz w:val="18"/>
                      <w:szCs w:val="18"/>
                    </w:rPr>
                    <w:t> 行政处罚 ; 行政处罚决定</w:t>
                  </w:r>
                </w:p>
              </w:tc>
            </w:tr>
          </w:tbl>
          <w:p w:rsidR="00B97C6E" w:rsidRPr="00B97C6E" w:rsidRDefault="00B97C6E" w:rsidP="00B97C6E">
            <w:pPr>
              <w:widowControl/>
              <w:jc w:val="left"/>
              <w:rPr>
                <w:rFonts w:ascii="宋体" w:eastAsia="宋体" w:hAnsi="宋体" w:cs="宋体"/>
                <w:color w:val="686868"/>
                <w:kern w:val="0"/>
                <w:sz w:val="18"/>
                <w:szCs w:val="18"/>
              </w:rPr>
            </w:pPr>
          </w:p>
        </w:tc>
      </w:tr>
      <w:tr w:rsidR="00B97C6E" w:rsidRPr="00B97C6E" w:rsidTr="00B97C6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C6E" w:rsidRPr="00B97C6E">
              <w:trPr>
                <w:tblCellSpacing w:w="0" w:type="dxa"/>
              </w:trPr>
              <w:tc>
                <w:tcPr>
                  <w:tcW w:w="2500" w:type="pct"/>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发布机构:</w:t>
                  </w:r>
                  <w:r w:rsidRPr="00B97C6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发文日期:</w:t>
                  </w:r>
                  <w:r w:rsidRPr="00B97C6E">
                    <w:rPr>
                      <w:rFonts w:ascii="宋体" w:eastAsia="宋体" w:hAnsi="宋体" w:cs="宋体"/>
                      <w:color w:val="686868"/>
                      <w:kern w:val="0"/>
                      <w:sz w:val="18"/>
                      <w:szCs w:val="18"/>
                    </w:rPr>
                    <w:t> 2019年09月05日</w:t>
                  </w:r>
                </w:p>
              </w:tc>
            </w:tr>
          </w:tbl>
          <w:p w:rsidR="00B97C6E" w:rsidRPr="00B97C6E" w:rsidRDefault="00B97C6E" w:rsidP="00B97C6E">
            <w:pPr>
              <w:widowControl/>
              <w:jc w:val="left"/>
              <w:rPr>
                <w:rFonts w:ascii="宋体" w:eastAsia="宋体" w:hAnsi="宋体" w:cs="宋体"/>
                <w:color w:val="686868"/>
                <w:kern w:val="0"/>
                <w:sz w:val="18"/>
                <w:szCs w:val="18"/>
              </w:rPr>
            </w:pPr>
          </w:p>
        </w:tc>
      </w:tr>
      <w:tr w:rsidR="00B97C6E" w:rsidRPr="00B97C6E" w:rsidTr="00B97C6E">
        <w:trPr>
          <w:tblCellSpacing w:w="0" w:type="dxa"/>
        </w:trPr>
        <w:tc>
          <w:tcPr>
            <w:tcW w:w="0" w:type="auto"/>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名　　称:</w:t>
            </w:r>
            <w:r w:rsidRPr="00B97C6E">
              <w:rPr>
                <w:rFonts w:ascii="宋体" w:eastAsia="宋体" w:hAnsi="宋体" w:cs="宋体"/>
                <w:color w:val="686868"/>
                <w:kern w:val="0"/>
                <w:sz w:val="18"/>
                <w:szCs w:val="18"/>
              </w:rPr>
              <w:t> 中国证监会行政处罚决定书（刘兴旺）</w:t>
            </w:r>
          </w:p>
        </w:tc>
      </w:tr>
      <w:tr w:rsidR="00B97C6E" w:rsidRPr="00B97C6E" w:rsidTr="00B97C6E">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97C6E" w:rsidRPr="00B97C6E">
              <w:trPr>
                <w:tblCellSpacing w:w="0" w:type="dxa"/>
              </w:trPr>
              <w:tc>
                <w:tcPr>
                  <w:tcW w:w="2500" w:type="pct"/>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文　　号:</w:t>
                  </w:r>
                  <w:r w:rsidRPr="00B97C6E">
                    <w:rPr>
                      <w:rFonts w:ascii="宋体" w:eastAsia="宋体" w:hAnsi="宋体" w:cs="宋体"/>
                      <w:color w:val="686868"/>
                      <w:kern w:val="0"/>
                      <w:sz w:val="18"/>
                      <w:szCs w:val="18"/>
                    </w:rPr>
                    <w:t> </w:t>
                  </w:r>
                  <w:bookmarkStart w:id="0" w:name="_GoBack"/>
                  <w:r w:rsidRPr="00B97C6E">
                    <w:rPr>
                      <w:rFonts w:ascii="宋体" w:eastAsia="宋体" w:hAnsi="宋体" w:cs="宋体"/>
                      <w:color w:val="686868"/>
                      <w:kern w:val="0"/>
                      <w:sz w:val="18"/>
                      <w:szCs w:val="18"/>
                    </w:rPr>
                    <w:t>〔2019〕99号</w:t>
                  </w:r>
                  <w:bookmarkEnd w:id="0"/>
                </w:p>
              </w:tc>
              <w:tc>
                <w:tcPr>
                  <w:tcW w:w="0" w:type="auto"/>
                  <w:tcMar>
                    <w:top w:w="30" w:type="dxa"/>
                    <w:left w:w="30" w:type="dxa"/>
                    <w:bottom w:w="30" w:type="dxa"/>
                    <w:right w:w="30" w:type="dxa"/>
                  </w:tcMar>
                  <w:hideMark/>
                </w:tcPr>
                <w:p w:rsidR="00B97C6E" w:rsidRPr="00B97C6E" w:rsidRDefault="00B97C6E" w:rsidP="00B97C6E">
                  <w:pPr>
                    <w:widowControl/>
                    <w:jc w:val="left"/>
                    <w:rPr>
                      <w:rFonts w:ascii="宋体" w:eastAsia="宋体" w:hAnsi="宋体" w:cs="宋体"/>
                      <w:color w:val="686868"/>
                      <w:kern w:val="0"/>
                      <w:sz w:val="18"/>
                      <w:szCs w:val="18"/>
                    </w:rPr>
                  </w:pPr>
                  <w:r w:rsidRPr="00B97C6E">
                    <w:rPr>
                      <w:rFonts w:ascii="宋体" w:eastAsia="宋体" w:hAnsi="宋体" w:cs="宋体"/>
                      <w:b/>
                      <w:bCs/>
                      <w:color w:val="686868"/>
                      <w:kern w:val="0"/>
                      <w:sz w:val="18"/>
                      <w:szCs w:val="18"/>
                    </w:rPr>
                    <w:t>主 题 词:</w:t>
                  </w:r>
                </w:p>
              </w:tc>
            </w:tr>
          </w:tbl>
          <w:p w:rsidR="00B97C6E" w:rsidRPr="00B97C6E" w:rsidRDefault="00B97C6E" w:rsidP="00B97C6E">
            <w:pPr>
              <w:widowControl/>
              <w:jc w:val="left"/>
              <w:rPr>
                <w:rFonts w:ascii="宋体" w:eastAsia="宋体" w:hAnsi="宋体" w:cs="宋体"/>
                <w:color w:val="686868"/>
                <w:kern w:val="0"/>
                <w:sz w:val="18"/>
                <w:szCs w:val="18"/>
              </w:rPr>
            </w:pPr>
          </w:p>
        </w:tc>
      </w:tr>
    </w:tbl>
    <w:p w:rsidR="00B97C6E" w:rsidRPr="00B97C6E" w:rsidRDefault="00B97C6E" w:rsidP="00B97C6E">
      <w:pPr>
        <w:widowControl/>
        <w:jc w:val="center"/>
        <w:rPr>
          <w:rFonts w:ascii="微软雅黑" w:eastAsia="微软雅黑" w:hAnsi="微软雅黑" w:cs="宋体"/>
          <w:color w:val="000000"/>
          <w:kern w:val="0"/>
          <w:sz w:val="18"/>
          <w:szCs w:val="18"/>
        </w:rPr>
      </w:pPr>
      <w:r w:rsidRPr="00B97C6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97C6E" w:rsidRPr="00B97C6E" w:rsidRDefault="00B97C6E" w:rsidP="00B97C6E">
      <w:pPr>
        <w:widowControl/>
        <w:shd w:val="clear" w:color="auto" w:fill="FFFFFF"/>
        <w:spacing w:after="240"/>
        <w:jc w:val="center"/>
        <w:rPr>
          <w:rFonts w:ascii="微软雅黑" w:eastAsia="微软雅黑" w:hAnsi="微软雅黑" w:cs="宋体" w:hint="eastAsia"/>
          <w:color w:val="000000"/>
          <w:kern w:val="0"/>
          <w:sz w:val="18"/>
          <w:szCs w:val="18"/>
        </w:rPr>
      </w:pPr>
      <w:r w:rsidRPr="00B97C6E">
        <w:rPr>
          <w:rFonts w:ascii="微软雅黑" w:eastAsia="微软雅黑" w:hAnsi="微软雅黑" w:cs="宋体" w:hint="eastAsia"/>
          <w:color w:val="000000"/>
          <w:kern w:val="0"/>
          <w:sz w:val="18"/>
          <w:szCs w:val="18"/>
        </w:rPr>
        <w:br/>
      </w:r>
      <w:r w:rsidRPr="00B97C6E">
        <w:rPr>
          <w:rFonts w:ascii="黑体" w:eastAsia="黑体" w:hAnsi="黑体" w:cs="宋体" w:hint="eastAsia"/>
          <w:b/>
          <w:bCs/>
          <w:color w:val="FF0000"/>
          <w:kern w:val="0"/>
          <w:sz w:val="36"/>
          <w:szCs w:val="36"/>
        </w:rPr>
        <w:t>中国证监会行政处罚决定书（刘兴旺）</w:t>
      </w:r>
    </w:p>
    <w:p w:rsidR="00B97C6E" w:rsidRPr="00B97C6E" w:rsidRDefault="00B97C6E" w:rsidP="00B97C6E">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B97C6E">
        <w:rPr>
          <w:rFonts w:ascii="微软雅黑" w:eastAsia="微软雅黑" w:hAnsi="微软雅黑" w:cs="宋体" w:hint="eastAsia"/>
          <w:color w:val="000000"/>
          <w:kern w:val="0"/>
          <w:sz w:val="24"/>
          <w:szCs w:val="24"/>
        </w:rPr>
        <w:t> </w:t>
      </w:r>
    </w:p>
    <w:p w:rsidR="00B97C6E" w:rsidRPr="00B97C6E" w:rsidRDefault="00B97C6E" w:rsidP="00B97C6E">
      <w:pPr>
        <w:widowControl/>
        <w:shd w:val="clear" w:color="auto" w:fill="FFFFFF"/>
        <w:spacing w:line="360" w:lineRule="atLeast"/>
        <w:jc w:val="center"/>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w:t>
      </w:r>
      <w:r w:rsidRPr="00B97C6E">
        <w:rPr>
          <w:rFonts w:ascii="楷体" w:eastAsia="楷体" w:hAnsi="楷体" w:cs="宋体" w:hint="eastAsia"/>
          <w:color w:val="000000"/>
          <w:kern w:val="0"/>
          <w:szCs w:val="21"/>
        </w:rPr>
        <w:t>2019〕99号</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当事人：刘兴旺，男，</w:t>
      </w:r>
      <w:r w:rsidRPr="00B97C6E">
        <w:rPr>
          <w:rFonts w:ascii="楷体" w:eastAsia="楷体" w:hAnsi="楷体" w:cs="宋体" w:hint="eastAsia"/>
          <w:color w:val="000000"/>
          <w:kern w:val="0"/>
          <w:szCs w:val="21"/>
        </w:rPr>
        <w:t>1972年7月出生，广东宝新资产管理有限公司（以下简称宝新资产）</w:t>
      </w:r>
      <w:r w:rsidRPr="00B97C6E">
        <w:rPr>
          <w:rFonts w:ascii="楷体" w:eastAsia="楷体" w:hAnsi="楷体" w:cs="宋体" w:hint="eastAsia"/>
          <w:color w:val="000000"/>
          <w:kern w:val="0"/>
          <w:sz w:val="24"/>
          <w:szCs w:val="24"/>
        </w:rPr>
        <w:t>总经理，住址：广东省广州市天河区</w:t>
      </w:r>
      <w:r w:rsidRPr="00B97C6E">
        <w:rPr>
          <w:rFonts w:ascii="楷体" w:eastAsia="楷体" w:hAnsi="楷体" w:cs="宋体" w:hint="eastAsia"/>
          <w:color w:val="000000"/>
          <w:kern w:val="0"/>
          <w:szCs w:val="21"/>
        </w:rPr>
        <w:t>。</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依据《中华人民共和国证券法》（以下简称《证券法》）的有关规定，我会对刘兴旺内幕交易广东宝丽华新能源股份有限公司（以下简称宝新能源）股票行为进行了立案调查、审理，依法向当事人告知了</w:t>
      </w:r>
      <w:proofErr w:type="gramStart"/>
      <w:r w:rsidRPr="00B97C6E">
        <w:rPr>
          <w:rFonts w:ascii="楷体" w:eastAsia="楷体" w:hAnsi="楷体" w:cs="宋体" w:hint="eastAsia"/>
          <w:color w:val="000000"/>
          <w:kern w:val="0"/>
          <w:sz w:val="24"/>
          <w:szCs w:val="24"/>
        </w:rPr>
        <w:t>作出</w:t>
      </w:r>
      <w:proofErr w:type="gramEnd"/>
      <w:r w:rsidRPr="00B97C6E">
        <w:rPr>
          <w:rFonts w:ascii="楷体" w:eastAsia="楷体" w:hAnsi="楷体" w:cs="宋体" w:hint="eastAsia"/>
          <w:color w:val="000000"/>
          <w:kern w:val="0"/>
          <w:sz w:val="24"/>
          <w:szCs w:val="24"/>
        </w:rPr>
        <w:t>行政处罚的事实、理由、依据及当事人依法享有的权利，并应当事人的要求举行了听证，听取了当事人的陈述和申辩。本案现已调查、审理终结。</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经查明，刘兴旺存在以下违法事实：</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一、内幕信息的形成与公开过程</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8月2日，首善集团与宝新能源控股股东广东宝丽华集团有限公司（以下简称宝丽华集团）签订全面战略合作协议，首善集团与宝新能源、宝丽华集团在投资与资产管理、新三板投融资、上市公司市值管理、税收筹划和财富管理等四个方面开展全面战略合作。</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2016年9月4日，首善集团董事长吴某新介绍宝新能源董事长宁某喜与深圳市东方富海投资管理股份有限公司（以下简称东方富海）董事长陈某认识。</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2016年9月5日，吴某新到深圳东方富海，向陈某等人介绍宝新能源，为东方富海与宝新能源的股权合作牵线搭桥。</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2016年9月7日，东方富海匡某明给吴某新发送了主题为东方富海2015年度工作报告摘要的电子邮件。9月8日，吴某新将该邮件转发给宝新能源子公司宝新资产总经理刘兴旺。</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lastRenderedPageBreak/>
        <w:t>2016年9月13日，吴某新带着东方富海陈某等一行前往广东省梅州市考察宝新能源。在此次考察中，陈某等见了宝新能源实际控制人叶某能、宝丽华集团总裁温某、宁某喜、刘兴旺等人，双方探讨了合作基础，表达了合作意向。</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2016年9月26日，吴某新和宝新能源叶某能、宁某喜等一行到深圳回访东方富海，见了东方富海陈某等人，进一步探讨双方合作。</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2016年9月28日，宝新能源宁某喜召集公司内部会议，会上宁某喜谈到拟通过受让或增资等形式获得东方富海股权，要求公司相关部门</w:t>
      </w:r>
      <w:proofErr w:type="gramStart"/>
      <w:r w:rsidRPr="00B97C6E">
        <w:rPr>
          <w:rFonts w:ascii="楷体" w:eastAsia="楷体" w:hAnsi="楷体" w:cs="宋体" w:hint="eastAsia"/>
          <w:color w:val="000000"/>
          <w:kern w:val="0"/>
          <w:szCs w:val="21"/>
        </w:rPr>
        <w:t>列出尽调计划</w:t>
      </w:r>
      <w:proofErr w:type="gramEnd"/>
      <w:r w:rsidRPr="00B97C6E">
        <w:rPr>
          <w:rFonts w:ascii="楷体" w:eastAsia="楷体" w:hAnsi="楷体" w:cs="宋体" w:hint="eastAsia"/>
          <w:color w:val="000000"/>
          <w:kern w:val="0"/>
          <w:szCs w:val="21"/>
        </w:rPr>
        <w:t>，研究宝新能源对东方富海进行收购需要的决策程序，并与东方富海沟通探讨具体的收购方式。9月29日，宝新能源曹某将28日会议纪要邮件发送给参会人员刘兴旺等人。</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2016年11月1日，宝新能源宁某喜到深圳。宁某喜和东方富海陈某决定双方进行尽职调查。宁某喜通知刘兴旺等人组织中介机构到东方富海进行尽职调查。</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2016年11月2日，陈某邀请东方</w:t>
      </w:r>
      <w:proofErr w:type="gramStart"/>
      <w:r w:rsidRPr="00B97C6E">
        <w:rPr>
          <w:rFonts w:ascii="楷体" w:eastAsia="楷体" w:hAnsi="楷体" w:cs="宋体" w:hint="eastAsia"/>
          <w:color w:val="000000"/>
          <w:kern w:val="0"/>
          <w:szCs w:val="21"/>
        </w:rPr>
        <w:t>富海投委会</w:t>
      </w:r>
      <w:proofErr w:type="gramEnd"/>
      <w:r w:rsidRPr="00B97C6E">
        <w:rPr>
          <w:rFonts w:ascii="楷体" w:eastAsia="楷体" w:hAnsi="楷体" w:cs="宋体" w:hint="eastAsia"/>
          <w:color w:val="000000"/>
          <w:kern w:val="0"/>
          <w:szCs w:val="21"/>
        </w:rPr>
        <w:t>秘书长陆某阳等8人加</w:t>
      </w:r>
      <w:proofErr w:type="gramStart"/>
      <w:r w:rsidRPr="00B97C6E">
        <w:rPr>
          <w:rFonts w:ascii="楷体" w:eastAsia="楷体" w:hAnsi="楷体" w:cs="宋体" w:hint="eastAsia"/>
          <w:color w:val="000000"/>
          <w:kern w:val="0"/>
          <w:szCs w:val="21"/>
        </w:rPr>
        <w:t>入微信群聊</w:t>
      </w:r>
      <w:proofErr w:type="gramEnd"/>
      <w:r w:rsidRPr="00B97C6E">
        <w:rPr>
          <w:rFonts w:ascii="楷体" w:eastAsia="楷体" w:hAnsi="楷体" w:cs="宋体" w:hint="eastAsia"/>
          <w:color w:val="000000"/>
          <w:kern w:val="0"/>
          <w:szCs w:val="21"/>
        </w:rPr>
        <w:t>，陈某通知所有人称，宝新能源周一进场对公司进行尽职调查，各部门要进行充分的准备，明天上午十点我们专门开个会，请大家准时参加，与宝新能源的战略合作对公司很重要，特别是秘书处和财务处，董秘要把相关资料提前准备好。</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2016年11月7日至15日，宝新能源宁某喜、刘兴旺等7人及相关中介机构人员到东方富海进行尽职调查。11月7日，宁某喜、刘兴旺及其他参与尽职调查人员与东方富海陈某等召开尽职调查碰头会。</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11月7日，东方富海张</w:t>
      </w:r>
      <w:proofErr w:type="gramStart"/>
      <w:r w:rsidRPr="00B97C6E">
        <w:rPr>
          <w:rFonts w:ascii="楷体" w:eastAsia="楷体" w:hAnsi="楷体" w:cs="宋体" w:hint="eastAsia"/>
          <w:color w:val="000000"/>
          <w:kern w:val="0"/>
          <w:szCs w:val="21"/>
        </w:rPr>
        <w:t>某坤将</w:t>
      </w:r>
      <w:proofErr w:type="gramEnd"/>
      <w:r w:rsidRPr="00B97C6E">
        <w:rPr>
          <w:rFonts w:ascii="楷体" w:eastAsia="楷体" w:hAnsi="楷体" w:cs="宋体" w:hint="eastAsia"/>
          <w:color w:val="000000"/>
          <w:kern w:val="0"/>
          <w:szCs w:val="21"/>
        </w:rPr>
        <w:t>尽职调查资料清单发送东方富海陈某、陆某阳等人邮箱。</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11月8日，宝新能源和东方富海就尽职调查事项签署《保密协议》。</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11月15日至16日，宝新能源投资部起草尽职调查报告，并将邮件发送刘兴旺等人。11月底尽职调查报告定稿。</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2016年12月9日至11日，东方富海在梅州召开高级管理人员会议，宝新能源叶某能、温某、宁某喜等人参与接待。</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2016年12月25日，东方富海起草宝新能源与东方富海合作框架协议。2016年12月30日，东方富海起草双方合作的附件文件，邮件发送陆某阳等人，并在收市后开会进行讨论修改。</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2017年1月2日，吴某新、宝新能源叶某能、宁某喜、温某等人与东方富海陈某等人会面，继续推动双方股权合作事项。当日，宝新能源申请停牌。</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2017年1月13日，宝新能源发布公告称公司控股股东宝丽华集团将其所持111,183,325股宝新能源股票（占公司总股本的5.11%）协议转让给宁某喜，将其所持108,794，395股宝新能源股票（占公司总股本的5%）转让给萍乡市</w:t>
      </w:r>
      <w:proofErr w:type="gramStart"/>
      <w:r w:rsidRPr="00B97C6E">
        <w:rPr>
          <w:rFonts w:ascii="楷体" w:eastAsia="楷体" w:hAnsi="楷体" w:cs="宋体" w:hint="eastAsia"/>
          <w:color w:val="000000"/>
          <w:kern w:val="0"/>
          <w:szCs w:val="21"/>
        </w:rPr>
        <w:t>富海久泰投资</w:t>
      </w:r>
      <w:proofErr w:type="gramEnd"/>
      <w:r w:rsidRPr="00B97C6E">
        <w:rPr>
          <w:rFonts w:ascii="楷体" w:eastAsia="楷体" w:hAnsi="楷体" w:cs="宋体" w:hint="eastAsia"/>
          <w:color w:val="000000"/>
          <w:kern w:val="0"/>
          <w:szCs w:val="21"/>
        </w:rPr>
        <w:t>咨询合伙企业（有限合伙）（东方富海员工持股平台，以下简称富海久泰）。2017年2月25日，宝新能源发布关于</w:t>
      </w:r>
      <w:proofErr w:type="gramStart"/>
      <w:r w:rsidRPr="00B97C6E">
        <w:rPr>
          <w:rFonts w:ascii="楷体" w:eastAsia="楷体" w:hAnsi="楷体" w:cs="宋体" w:hint="eastAsia"/>
          <w:color w:val="000000"/>
          <w:kern w:val="0"/>
          <w:szCs w:val="21"/>
        </w:rPr>
        <w:t>受让暨增资</w:t>
      </w:r>
      <w:proofErr w:type="gramEnd"/>
      <w:r w:rsidRPr="00B97C6E">
        <w:rPr>
          <w:rFonts w:ascii="楷体" w:eastAsia="楷体" w:hAnsi="楷体" w:cs="宋体" w:hint="eastAsia"/>
          <w:color w:val="000000"/>
          <w:kern w:val="0"/>
          <w:szCs w:val="21"/>
        </w:rPr>
        <w:t>深圳东方富海股份涉及关联交易的公告。公司股票自2017年2月27日开市起复牌。</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宝新能源与东方富海的上述股权合作事项，属于《证券法》第六十七条第二款第（二）项和第（八）项规定的重大事件，在信息公开</w:t>
      </w:r>
      <w:proofErr w:type="gramStart"/>
      <w:r w:rsidRPr="00B97C6E">
        <w:rPr>
          <w:rFonts w:ascii="楷体" w:eastAsia="楷体" w:hAnsi="楷体" w:cs="宋体" w:hint="eastAsia"/>
          <w:color w:val="000000"/>
          <w:kern w:val="0"/>
          <w:sz w:val="24"/>
          <w:szCs w:val="24"/>
        </w:rPr>
        <w:t>前构成</w:t>
      </w:r>
      <w:proofErr w:type="gramEnd"/>
      <w:r w:rsidRPr="00B97C6E">
        <w:rPr>
          <w:rFonts w:ascii="楷体" w:eastAsia="楷体" w:hAnsi="楷体" w:cs="宋体" w:hint="eastAsia"/>
          <w:color w:val="000000"/>
          <w:kern w:val="0"/>
          <w:sz w:val="24"/>
          <w:szCs w:val="24"/>
        </w:rPr>
        <w:t>《证券法》</w:t>
      </w:r>
      <w:r w:rsidRPr="00B97C6E">
        <w:rPr>
          <w:rFonts w:ascii="楷体" w:eastAsia="楷体" w:hAnsi="楷体" w:cs="宋体" w:hint="eastAsia"/>
          <w:color w:val="000000"/>
          <w:kern w:val="0"/>
          <w:sz w:val="24"/>
          <w:szCs w:val="24"/>
        </w:rPr>
        <w:lastRenderedPageBreak/>
        <w:t>第七十五条第二款第（一）项所述的内幕信息。该内幕信息形成于</w:t>
      </w:r>
      <w:r w:rsidRPr="00B97C6E">
        <w:rPr>
          <w:rFonts w:ascii="楷体" w:eastAsia="楷体" w:hAnsi="楷体" w:cs="宋体" w:hint="eastAsia"/>
          <w:color w:val="000000"/>
          <w:kern w:val="0"/>
          <w:szCs w:val="21"/>
        </w:rPr>
        <w:t>2016年9月13日，公开于2017年2月25日，内幕信息敏感期为2016年9月13日至2017年2月25日。刘兴旺为宝新能源全资子公司宝新资产的总经理，其通过参加相关合作事项的洽谈及尽职调查，知悉了内幕信息，知悉内幕信息的时间为2016年9月13日。</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二、刘兴旺内幕交易</w:t>
      </w:r>
      <w:r w:rsidRPr="00B97C6E">
        <w:rPr>
          <w:rFonts w:ascii="楷体" w:eastAsia="楷体" w:hAnsi="楷体" w:cs="宋体" w:hint="eastAsia"/>
          <w:color w:val="000000"/>
          <w:kern w:val="0"/>
          <w:szCs w:val="21"/>
        </w:rPr>
        <w:t>“宝新能源”</w:t>
      </w:r>
    </w:p>
    <w:p w:rsidR="00B97C6E" w:rsidRPr="00B97C6E" w:rsidRDefault="00B97C6E" w:rsidP="00B97C6E">
      <w:pPr>
        <w:widowControl/>
        <w:shd w:val="clear" w:color="auto" w:fill="FFFFFF"/>
        <w:spacing w:line="360" w:lineRule="atLeast"/>
        <w:ind w:left="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（一）刘兴旺实际控制账户的情况</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内幕信息敏感期内，刘兴旺实际控制</w:t>
      </w:r>
      <w:r w:rsidRPr="00B97C6E">
        <w:rPr>
          <w:rFonts w:ascii="楷体" w:eastAsia="楷体" w:hAnsi="楷体" w:cs="宋体" w:hint="eastAsia"/>
          <w:color w:val="000000"/>
          <w:kern w:val="0"/>
          <w:szCs w:val="21"/>
        </w:rPr>
        <w:t>“杜某仙”、“刘某森”和“刘某娥”账户（以下简称账户组）。</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刘兴旺承认，</w:t>
      </w:r>
      <w:r w:rsidRPr="00B97C6E">
        <w:rPr>
          <w:rFonts w:ascii="楷体" w:eastAsia="楷体" w:hAnsi="楷体" w:cs="宋体" w:hint="eastAsia"/>
          <w:color w:val="000000"/>
          <w:kern w:val="0"/>
          <w:szCs w:val="21"/>
        </w:rPr>
        <w:t>“杜某仙”、“刘某森”和“刘某娥”账户由其操作。根据电子取证信息，该3个账户交易宝新能源股票的下单MAC地址与刘兴旺本人使用的笔记本电脑一致。</w:t>
      </w:r>
    </w:p>
    <w:p w:rsidR="00B97C6E" w:rsidRPr="00B97C6E" w:rsidRDefault="00B97C6E" w:rsidP="00B97C6E">
      <w:pPr>
        <w:widowControl/>
        <w:shd w:val="clear" w:color="auto" w:fill="FFFFFF"/>
        <w:spacing w:line="360" w:lineRule="atLeast"/>
        <w:ind w:left="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（二）账户</w:t>
      </w:r>
      <w:proofErr w:type="gramStart"/>
      <w:r w:rsidRPr="00B97C6E">
        <w:rPr>
          <w:rFonts w:ascii="楷体" w:eastAsia="楷体" w:hAnsi="楷体" w:cs="宋体" w:hint="eastAsia"/>
          <w:color w:val="000000"/>
          <w:kern w:val="0"/>
          <w:sz w:val="24"/>
          <w:szCs w:val="24"/>
        </w:rPr>
        <w:t>组交易</w:t>
      </w:r>
      <w:proofErr w:type="gramEnd"/>
      <w:r w:rsidRPr="00B97C6E">
        <w:rPr>
          <w:rFonts w:ascii="楷体" w:eastAsia="楷体" w:hAnsi="楷体" w:cs="宋体" w:hint="eastAsia"/>
          <w:color w:val="000000"/>
          <w:kern w:val="0"/>
          <w:szCs w:val="21"/>
        </w:rPr>
        <w:t>“宝新能源”的情况</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内幕信息敏感期内，账户组共买入</w:t>
      </w:r>
      <w:r w:rsidRPr="00B97C6E">
        <w:rPr>
          <w:rFonts w:ascii="楷体" w:eastAsia="楷体" w:hAnsi="楷体" w:cs="宋体" w:hint="eastAsia"/>
          <w:color w:val="000000"/>
          <w:kern w:val="0"/>
          <w:szCs w:val="21"/>
        </w:rPr>
        <w:t>“宝新能源”266,800股，卖出246,000股。经计算，该账户组盈利42,340.26元。</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1.</w:t>
      </w:r>
      <w:r w:rsidRPr="00B97C6E">
        <w:rPr>
          <w:rFonts w:ascii="Calibri" w:eastAsia="楷体" w:hAnsi="Calibri" w:cs="Calibri"/>
          <w:color w:val="000000"/>
          <w:kern w:val="0"/>
          <w:szCs w:val="21"/>
        </w:rPr>
        <w:t> </w:t>
      </w:r>
      <w:r w:rsidRPr="00B97C6E">
        <w:rPr>
          <w:rFonts w:ascii="楷体" w:eastAsia="楷体" w:hAnsi="楷体" w:cs="宋体" w:hint="eastAsia"/>
          <w:color w:val="000000"/>
          <w:kern w:val="0"/>
          <w:szCs w:val="21"/>
        </w:rPr>
        <w:t>“杜某仙”账户</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“杜某仙”账户1999年3月8日在广发证券西安南广济街营业部开立，资金账户18×××07，下挂上海股东账户A31××××993和深圳股东账户003××××652。</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该账户内幕信息敏感期内交易</w:t>
      </w:r>
      <w:r w:rsidRPr="00B97C6E">
        <w:rPr>
          <w:rFonts w:ascii="楷体" w:eastAsia="楷体" w:hAnsi="楷体" w:cs="宋体" w:hint="eastAsia"/>
          <w:color w:val="000000"/>
          <w:kern w:val="0"/>
          <w:szCs w:val="21"/>
        </w:rPr>
        <w:t>“宝新能源”的情况为：2016年10月17日买入10,000股，买入金额为81,200元，2016年11月1日卖出10,000股，卖出金额为83,100元，2016年11月18日买入29,800股，买入金额为256,876元，2016年12月15日卖出10,000</w:t>
      </w:r>
      <w:r w:rsidRPr="00B97C6E">
        <w:rPr>
          <w:rFonts w:ascii="楷体" w:eastAsia="楷体" w:hAnsi="楷体" w:cs="宋体" w:hint="eastAsia"/>
          <w:color w:val="000000"/>
          <w:kern w:val="0"/>
          <w:sz w:val="24"/>
          <w:szCs w:val="24"/>
        </w:rPr>
        <w:t>股，卖出金额为</w:t>
      </w:r>
      <w:r w:rsidRPr="00B97C6E">
        <w:rPr>
          <w:rFonts w:ascii="楷体" w:eastAsia="楷体" w:hAnsi="楷体" w:cs="宋体" w:hint="eastAsia"/>
          <w:color w:val="000000"/>
          <w:kern w:val="0"/>
          <w:szCs w:val="21"/>
        </w:rPr>
        <w:t>86,900元。</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2.</w:t>
      </w:r>
      <w:r w:rsidRPr="00B97C6E">
        <w:rPr>
          <w:rFonts w:ascii="Calibri" w:eastAsia="楷体" w:hAnsi="Calibri" w:cs="Calibri"/>
          <w:color w:val="000000"/>
          <w:kern w:val="0"/>
          <w:szCs w:val="21"/>
        </w:rPr>
        <w:t> </w:t>
      </w:r>
      <w:r w:rsidRPr="00B97C6E">
        <w:rPr>
          <w:rFonts w:ascii="楷体" w:eastAsia="楷体" w:hAnsi="楷体" w:cs="宋体" w:hint="eastAsia"/>
          <w:color w:val="000000"/>
          <w:kern w:val="0"/>
          <w:szCs w:val="21"/>
        </w:rPr>
        <w:t>“刘某森”账户</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刘某森”账户1999年3月8日在中投证券开立，资金账户18×××60，下挂上海股东账户A32××××429和深圳股东账户006××××255；2016年11月15日开通信用账户19×××71，下挂上海信用股东账户E04××××663和深圳信用股东账户060××××306。</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B97C6E">
        <w:rPr>
          <w:rFonts w:ascii="楷体" w:eastAsia="楷体" w:hAnsi="楷体" w:cs="宋体" w:hint="eastAsia"/>
          <w:color w:val="000000"/>
          <w:kern w:val="0"/>
          <w:sz w:val="24"/>
          <w:szCs w:val="24"/>
        </w:rPr>
        <w:t>该普通</w:t>
      </w:r>
      <w:proofErr w:type="gramEnd"/>
      <w:r w:rsidRPr="00B97C6E">
        <w:rPr>
          <w:rFonts w:ascii="楷体" w:eastAsia="楷体" w:hAnsi="楷体" w:cs="宋体" w:hint="eastAsia"/>
          <w:color w:val="000000"/>
          <w:kern w:val="0"/>
          <w:sz w:val="24"/>
          <w:szCs w:val="24"/>
        </w:rPr>
        <w:t>账户内幕信息敏感期内交易</w:t>
      </w:r>
      <w:r w:rsidRPr="00B97C6E">
        <w:rPr>
          <w:rFonts w:ascii="楷体" w:eastAsia="楷体" w:hAnsi="楷体" w:cs="宋体" w:hint="eastAsia"/>
          <w:color w:val="000000"/>
          <w:kern w:val="0"/>
          <w:szCs w:val="21"/>
        </w:rPr>
        <w:t>“宝新能源”的情况为：2016年11月16、17日买入68,000股，买入金额为577,880元；2016年11月30日卖出，卖出金额为583,140元。</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信用账户交易的情况为：</w:t>
      </w:r>
      <w:r w:rsidRPr="00B97C6E">
        <w:rPr>
          <w:rFonts w:ascii="楷体" w:eastAsia="楷体" w:hAnsi="楷体" w:cs="宋体" w:hint="eastAsia"/>
          <w:color w:val="000000"/>
          <w:kern w:val="0"/>
          <w:szCs w:val="21"/>
        </w:rPr>
        <w:t>2016年12月30日买入1,000股，买入金额为9,260元。</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w:t>
      </w:r>
      <w:r w:rsidRPr="00B97C6E">
        <w:rPr>
          <w:rFonts w:ascii="楷体" w:eastAsia="楷体" w:hAnsi="楷体" w:cs="宋体" w:hint="eastAsia"/>
          <w:color w:val="000000"/>
          <w:kern w:val="0"/>
          <w:szCs w:val="21"/>
        </w:rPr>
        <w:t>3）“刘某娥”账户</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“刘某娥”账户2007年6月21日在中投证券开立，资金账户18×××88，下挂上海股东账户A41××××778和深圳股东账户008××××037。</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该账户内幕信息敏感期内交易</w:t>
      </w:r>
      <w:r w:rsidRPr="00B97C6E">
        <w:rPr>
          <w:rFonts w:ascii="楷体" w:eastAsia="楷体" w:hAnsi="楷体" w:cs="宋体" w:hint="eastAsia"/>
          <w:color w:val="000000"/>
          <w:kern w:val="0"/>
          <w:szCs w:val="21"/>
        </w:rPr>
        <w:t>“宝新能源”的情况为：2016年10月17日买入50,000股，买入金额为407,000元，2016年11月1日卖出50,000股，卖出金额为415,000元；2016年11月17日买入108,000股，买入金额为922,900元，2016年11月25日、30日、12月14日卖出，卖出金额为930,980元。</w:t>
      </w:r>
    </w:p>
    <w:p w:rsidR="00B97C6E" w:rsidRPr="00B97C6E" w:rsidRDefault="00B97C6E" w:rsidP="00B97C6E">
      <w:pPr>
        <w:widowControl/>
        <w:shd w:val="clear" w:color="auto" w:fill="FFFFFF"/>
        <w:spacing w:line="360" w:lineRule="atLeast"/>
        <w:ind w:left="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lastRenderedPageBreak/>
        <w:t>（三）账户资金情况</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“杜某仙”账户2016年11月16日买入“宝新能源”资金为账户内的原有资金。</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“刘某森”账户2016年11月16日、17日买入“宝新能源”资金为账户内的原有资金。</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“刘某娥”账户2016年11月17日买入“宝新能源”资金为账户内的原有资金。</w:t>
      </w:r>
    </w:p>
    <w:p w:rsidR="00B97C6E" w:rsidRPr="00B97C6E" w:rsidRDefault="00B97C6E" w:rsidP="00B97C6E">
      <w:pPr>
        <w:widowControl/>
        <w:shd w:val="clear" w:color="auto" w:fill="FFFFFF"/>
        <w:spacing w:line="360" w:lineRule="atLeast"/>
        <w:ind w:left="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（四）账户交易特征</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刘兴旺于</w:t>
      </w:r>
      <w:r w:rsidRPr="00B97C6E">
        <w:rPr>
          <w:rFonts w:ascii="楷体" w:eastAsia="楷体" w:hAnsi="楷体" w:cs="宋体" w:hint="eastAsia"/>
          <w:color w:val="000000"/>
          <w:kern w:val="0"/>
          <w:szCs w:val="21"/>
        </w:rPr>
        <w:t>2016年9月13日知悉内幕信息后，于2016年10月17日开始买入“宝新能源”。2016年11月7日至16日，刘兴旺参与宝新能源到东方富海的尽职调查工作，进一步了解双方合作进展后，于2016年11月16、17日利用账户组继续买入“宝新能源”，买入量加倍放大。账户组买入“宝新能源”时间与刘兴旺获悉内幕信息的时间基本一致，交易异常性明显。</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上述事实，有相关公告、询问笔录、通话记录、相关证券账户资料和交易记录、银行账户资料、相关产品合同、协议及情况说明、电子设备取证信息等证据证明，足以认定。</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刘兴旺的上述行为违反了《证券法》第七十三条、第七十六条第一款的规定，构成《证券法》第二百零二条所述内幕交易行为。</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在听证中，刘兴旺提出如下申辩意见：</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第一，涉案内幕信息形成于</w:t>
      </w:r>
      <w:r w:rsidRPr="00B97C6E">
        <w:rPr>
          <w:rFonts w:ascii="楷体" w:eastAsia="楷体" w:hAnsi="楷体" w:cs="宋体" w:hint="eastAsia"/>
          <w:color w:val="000000"/>
          <w:kern w:val="0"/>
          <w:szCs w:val="21"/>
        </w:rPr>
        <w:t>2016年9月13日的认定不能成立。2016年9月13日，宝新能源与东方富海相关人员仅进行了初步接触，并未形成收购意向。至2017年1月停牌时，涉案收购交易仍可能发生变化，仍不能完全确定。</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第二，刘兴旺知悉本案内幕信息时间应为</w:t>
      </w:r>
      <w:r w:rsidRPr="00B97C6E">
        <w:rPr>
          <w:rFonts w:ascii="楷体" w:eastAsia="楷体" w:hAnsi="楷体" w:cs="宋体" w:hint="eastAsia"/>
          <w:color w:val="000000"/>
          <w:kern w:val="0"/>
          <w:szCs w:val="21"/>
        </w:rPr>
        <w:t>2017年1月份。刘兴旺2016年9月13日参与会谈、11月参与尽职调查时尚未知悉本案内幕信息。</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第三，刘兴旺账户组交易</w:t>
      </w:r>
      <w:proofErr w:type="gramStart"/>
      <w:r w:rsidRPr="00B97C6E">
        <w:rPr>
          <w:rFonts w:ascii="楷体" w:eastAsia="楷体" w:hAnsi="楷体" w:cs="宋体" w:hint="eastAsia"/>
          <w:color w:val="000000"/>
          <w:kern w:val="0"/>
          <w:sz w:val="24"/>
          <w:szCs w:val="24"/>
        </w:rPr>
        <w:t>不</w:t>
      </w:r>
      <w:proofErr w:type="gramEnd"/>
      <w:r w:rsidRPr="00B97C6E">
        <w:rPr>
          <w:rFonts w:ascii="楷体" w:eastAsia="楷体" w:hAnsi="楷体" w:cs="宋体" w:hint="eastAsia"/>
          <w:color w:val="000000"/>
          <w:kern w:val="0"/>
          <w:sz w:val="24"/>
          <w:szCs w:val="24"/>
        </w:rPr>
        <w:t>异常。刘兴旺是基于关注公司业绩和未来发展前景买卖股票，与本案内幕信息没有任何关联，相关交易不构成明显异常，更不属于</w:t>
      </w:r>
      <w:r w:rsidRPr="00B97C6E">
        <w:rPr>
          <w:rFonts w:ascii="楷体" w:eastAsia="楷体" w:hAnsi="楷体" w:cs="宋体" w:hint="eastAsia"/>
          <w:color w:val="000000"/>
          <w:kern w:val="0"/>
          <w:szCs w:val="21"/>
        </w:rPr>
        <w:t>“利用”内幕信息进行交易。</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第四，刘兴旺积极配合调查，尽自己所能向调查人员提供有关信息，符合从轻或减轻处罚的条件。</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综上，刘兴旺请求免于处罚。</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经复核，我会认为：</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第一，宝新能源与东方富海双方人员于</w:t>
      </w:r>
      <w:r w:rsidRPr="00B97C6E">
        <w:rPr>
          <w:rFonts w:ascii="楷体" w:eastAsia="楷体" w:hAnsi="楷体" w:cs="宋体" w:hint="eastAsia"/>
          <w:color w:val="000000"/>
          <w:kern w:val="0"/>
          <w:szCs w:val="21"/>
        </w:rPr>
        <w:t>2016年9月13日的会面商谈，是在吴某新积极介绍，双方经前期接触、了解的基础上进行的。参会人员包括宝丽华集团、宝新能源实际控制人叶某能，宝丽华集团总裁温某，宝新能源董事长、法定代表人宁某喜，东方富海董事长、执行事务合伙人陈某，东方富海合伙人程某博、刁某桓、匡某明、刘某生等双方核心管理人员。根据参会人员的询问笔录、笔记，会上双方表达了合作意向，探讨了宝新能源对东方富海先增资后收购的合作方式。此次会面后，宝新能源与东方富海的合作进入实质操作阶段，双方进一步洽谈合作事项，组织进行尽职调查，起草合作框架协议。依据最高人民法院、最高人民检察院《关于办理内幕交易、泄露内幕信息刑事案件具体应用法律若干问题的解释》第五条第三款“影响内幕信息形成的动议、筹划、决策或者执行</w:t>
      </w:r>
      <w:r w:rsidRPr="00B97C6E">
        <w:rPr>
          <w:rFonts w:ascii="楷体" w:eastAsia="楷体" w:hAnsi="楷体" w:cs="宋体" w:hint="eastAsia"/>
          <w:color w:val="000000"/>
          <w:kern w:val="0"/>
          <w:szCs w:val="21"/>
        </w:rPr>
        <w:lastRenderedPageBreak/>
        <w:t>人员，其动议、筹划、决策或者执行初始时间，应当认定为内幕信息的形成之时”的规定，认定2016年9月13日为本案内幕信息的形成时间，有充分的事实和法律依据。我会对当事人相关申辩意见不予采纳。</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第二，当事人为宝新能源全资子公司宝新资产的总经理，参与了宝新能源与东方富海合作事项的洽谈及尽职调查工作，知悉内幕信息的时间为</w:t>
      </w:r>
      <w:r w:rsidRPr="00B97C6E">
        <w:rPr>
          <w:rFonts w:ascii="楷体" w:eastAsia="楷体" w:hAnsi="楷体" w:cs="宋体" w:hint="eastAsia"/>
          <w:color w:val="000000"/>
          <w:kern w:val="0"/>
          <w:szCs w:val="21"/>
        </w:rPr>
        <w:t>2016年9月13日。2016年9月8</w:t>
      </w:r>
      <w:r w:rsidRPr="00B97C6E">
        <w:rPr>
          <w:rFonts w:ascii="楷体" w:eastAsia="楷体" w:hAnsi="楷体" w:cs="宋体" w:hint="eastAsia"/>
          <w:color w:val="000000"/>
          <w:kern w:val="0"/>
          <w:sz w:val="24"/>
          <w:szCs w:val="24"/>
        </w:rPr>
        <w:t>日，刘兴旺收到吴某新转发的东方富海相关资料。</w:t>
      </w:r>
      <w:r w:rsidRPr="00B97C6E">
        <w:rPr>
          <w:rFonts w:ascii="楷体" w:eastAsia="楷体" w:hAnsi="楷体" w:cs="宋体" w:hint="eastAsia"/>
          <w:color w:val="000000"/>
          <w:kern w:val="0"/>
          <w:szCs w:val="21"/>
        </w:rPr>
        <w:t>2016年9月13日，刘兴旺参与接待东方富海陈某一行，在座谈会上首次知悉了宝新能源和东方富海股权合作事项。2016年9月28日，刘兴旺参加宝新能源的内部讨论会，进一步获悉宝新能源收购东方富海股权的意向。2016年11月，刘兴旺组织并参与宝新能源到东方富海的尽职调查工作，掌握双方合作的进展情况。当事人提出的2016年9月13日内幕信息尚未形成，直至2017年1月初才知悉内幕信息的申辩意见，我会不予采纳。</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第三，当事人系本案知悉内幕信息人员，其在知悉内幕信息后，内幕信息公开前，实际控制账户组账户交易标的股票，已构成内幕交易。账户组买入</w:t>
      </w:r>
      <w:r w:rsidRPr="00B97C6E">
        <w:rPr>
          <w:rFonts w:ascii="楷体" w:eastAsia="楷体" w:hAnsi="楷体" w:cs="宋体" w:hint="eastAsia"/>
          <w:color w:val="000000"/>
          <w:kern w:val="0"/>
          <w:szCs w:val="21"/>
        </w:rPr>
        <w:t>“宝新能源”的时间与内幕信息形成</w:t>
      </w:r>
      <w:proofErr w:type="gramStart"/>
      <w:r w:rsidRPr="00B97C6E">
        <w:rPr>
          <w:rFonts w:ascii="楷体" w:eastAsia="楷体" w:hAnsi="楷体" w:cs="宋体" w:hint="eastAsia"/>
          <w:color w:val="000000"/>
          <w:kern w:val="0"/>
          <w:szCs w:val="21"/>
        </w:rPr>
        <w:t>及尽调</w:t>
      </w:r>
      <w:proofErr w:type="gramEnd"/>
      <w:r w:rsidRPr="00B97C6E">
        <w:rPr>
          <w:rFonts w:ascii="楷体" w:eastAsia="楷体" w:hAnsi="楷体" w:cs="宋体" w:hint="eastAsia"/>
          <w:color w:val="000000"/>
          <w:kern w:val="0"/>
          <w:szCs w:val="21"/>
        </w:rPr>
        <w:t>等实质性进展时间基本一致，交易存在明显异常。当事人提出的基于关注公司业绩和未来发展前景买卖股票，涉案交易是当事人常规交易行为等申辩意见，都不足以排除其利用了内幕信息交易标的股票的嫌疑。</w:t>
      </w:r>
      <w:r w:rsidRPr="00B97C6E">
        <w:rPr>
          <w:rFonts w:ascii="楷体" w:eastAsia="楷体" w:hAnsi="楷体" w:cs="宋体" w:hint="eastAsia"/>
          <w:color w:val="000000"/>
          <w:kern w:val="0"/>
          <w:sz w:val="24"/>
          <w:szCs w:val="24"/>
        </w:rPr>
        <w:t>我会对当事人相关申辩意见不予采纳。</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第四，刘兴旺积极配合调查，提供了重要线索，对案件的查处起到了一定作用，具有《行政处罚法》第二十七条第一款第（三）项所述配合行政机关查处违法行为有立功表现的情形。我会在事先告知书中拟对当事人的量</w:t>
      </w:r>
      <w:proofErr w:type="gramStart"/>
      <w:r w:rsidRPr="00B97C6E">
        <w:rPr>
          <w:rFonts w:ascii="楷体" w:eastAsia="楷体" w:hAnsi="楷体" w:cs="宋体" w:hint="eastAsia"/>
          <w:color w:val="000000"/>
          <w:kern w:val="0"/>
          <w:sz w:val="24"/>
          <w:szCs w:val="24"/>
        </w:rPr>
        <w:t>罚已经</w:t>
      </w:r>
      <w:proofErr w:type="gramEnd"/>
      <w:r w:rsidRPr="00B97C6E">
        <w:rPr>
          <w:rFonts w:ascii="楷体" w:eastAsia="楷体" w:hAnsi="楷体" w:cs="宋体" w:hint="eastAsia"/>
          <w:color w:val="000000"/>
          <w:kern w:val="0"/>
          <w:sz w:val="24"/>
          <w:szCs w:val="24"/>
        </w:rPr>
        <w:t>充分考虑当事人的上述应当依法从轻或者减轻处罚的情形。</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根据当事人违法行为的事实、性质、情节与社会危害程度，依据《证券法》第二百零二条的规定，我会决定：没收刘兴旺违法所得</w:t>
      </w:r>
      <w:r w:rsidRPr="00B97C6E">
        <w:rPr>
          <w:rFonts w:ascii="楷体" w:eastAsia="楷体" w:hAnsi="楷体" w:cs="宋体" w:hint="eastAsia"/>
          <w:color w:val="000000"/>
          <w:kern w:val="0"/>
          <w:szCs w:val="21"/>
        </w:rPr>
        <w:t>42,340.26元，并处以84,680.52</w:t>
      </w:r>
      <w:r w:rsidRPr="00B97C6E">
        <w:rPr>
          <w:rFonts w:ascii="楷体" w:eastAsia="楷体" w:hAnsi="楷体" w:cs="宋体" w:hint="eastAsia"/>
          <w:color w:val="000000"/>
          <w:kern w:val="0"/>
          <w:sz w:val="24"/>
          <w:szCs w:val="24"/>
        </w:rPr>
        <w:t>元罚款。</w:t>
      </w:r>
    </w:p>
    <w:p w:rsidR="00B97C6E" w:rsidRPr="00B97C6E" w:rsidRDefault="00B97C6E" w:rsidP="00B97C6E">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上述当事人应自收到本处罚决定书之日起</w:t>
      </w:r>
      <w:r w:rsidRPr="00B97C6E">
        <w:rPr>
          <w:rFonts w:ascii="楷体" w:eastAsia="楷体" w:hAnsi="楷体" w:cs="宋体" w:hint="eastAsia"/>
          <w:color w:val="000000"/>
          <w:kern w:val="0"/>
          <w:szCs w:val="21"/>
        </w:rPr>
        <w:t>15日内，将罚没款汇交中国证券监督管理委员会（财政</w:t>
      </w:r>
      <w:proofErr w:type="gramStart"/>
      <w:r w:rsidRPr="00B97C6E">
        <w:rPr>
          <w:rFonts w:ascii="楷体" w:eastAsia="楷体" w:hAnsi="楷体" w:cs="宋体" w:hint="eastAsia"/>
          <w:color w:val="000000"/>
          <w:kern w:val="0"/>
          <w:szCs w:val="21"/>
        </w:rPr>
        <w:t>汇缴专户</w:t>
      </w:r>
      <w:proofErr w:type="gramEnd"/>
      <w:r w:rsidRPr="00B97C6E">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spacing w:line="360" w:lineRule="atLeast"/>
        <w:jc w:val="left"/>
        <w:rPr>
          <w:rFonts w:ascii="楷体" w:eastAsia="楷体" w:hAnsi="楷体" w:cs="宋体" w:hint="eastAsia"/>
          <w:color w:val="000000"/>
          <w:kern w:val="0"/>
          <w:sz w:val="24"/>
          <w:szCs w:val="24"/>
        </w:rPr>
      </w:pPr>
      <w:r w:rsidRPr="00B97C6E">
        <w:rPr>
          <w:rFonts w:ascii="Calibri" w:eastAsia="楷体" w:hAnsi="Calibri" w:cs="Calibri"/>
          <w:color w:val="000000"/>
          <w:kern w:val="0"/>
          <w:sz w:val="24"/>
          <w:szCs w:val="24"/>
        </w:rPr>
        <w:t> </w:t>
      </w:r>
    </w:p>
    <w:p w:rsidR="00B97C6E" w:rsidRPr="00B97C6E" w:rsidRDefault="00B97C6E" w:rsidP="00B97C6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7C6E">
        <w:rPr>
          <w:rFonts w:ascii="楷体" w:eastAsia="楷体" w:hAnsi="楷体" w:cs="宋体" w:hint="eastAsia"/>
          <w:color w:val="000000"/>
          <w:kern w:val="0"/>
          <w:sz w:val="24"/>
          <w:szCs w:val="24"/>
        </w:rPr>
        <w:t>中国证监会</w:t>
      </w:r>
      <w:r w:rsidRPr="00B97C6E">
        <w:rPr>
          <w:rFonts w:ascii="Calibri" w:eastAsia="楷体" w:hAnsi="Calibri" w:cs="Calibri"/>
          <w:color w:val="000000"/>
          <w:kern w:val="0"/>
          <w:sz w:val="24"/>
          <w:szCs w:val="24"/>
        </w:rPr>
        <w:t> </w:t>
      </w:r>
      <w:proofErr w:type="gramStart"/>
      <w:r w:rsidRPr="00B97C6E">
        <w:rPr>
          <w:rFonts w:ascii="楷体" w:eastAsia="楷体" w:hAnsi="楷体" w:cs="宋体" w:hint="eastAsia"/>
          <w:color w:val="000000"/>
          <w:kern w:val="0"/>
          <w:szCs w:val="21"/>
        </w:rPr>
        <w:t xml:space="preserve">　　　　　</w:t>
      </w:r>
      <w:proofErr w:type="gramEnd"/>
    </w:p>
    <w:p w:rsidR="00B97C6E" w:rsidRPr="00B97C6E" w:rsidRDefault="00B97C6E" w:rsidP="00B97C6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 xml:space="preserve">2019年9月5日　　</w:t>
      </w:r>
      <w:proofErr w:type="gramStart"/>
      <w:r w:rsidRPr="00B97C6E">
        <w:rPr>
          <w:rFonts w:ascii="楷体" w:eastAsia="楷体" w:hAnsi="楷体" w:cs="宋体" w:hint="eastAsia"/>
          <w:color w:val="000000"/>
          <w:kern w:val="0"/>
          <w:szCs w:val="21"/>
        </w:rPr>
        <w:t xml:space="preserve">　</w:t>
      </w:r>
      <w:proofErr w:type="gramEnd"/>
      <w:r w:rsidRPr="00B97C6E">
        <w:rPr>
          <w:rFonts w:ascii="Calibri" w:eastAsia="楷体" w:hAnsi="Calibri" w:cs="Calibri"/>
          <w:color w:val="000000"/>
          <w:kern w:val="0"/>
          <w:szCs w:val="21"/>
        </w:rPr>
        <w:t> </w:t>
      </w:r>
      <w:r w:rsidRPr="00B97C6E">
        <w:rPr>
          <w:rFonts w:ascii="楷体" w:eastAsia="楷体" w:hAnsi="楷体" w:cs="宋体" w:hint="eastAsia"/>
          <w:color w:val="000000"/>
          <w:kern w:val="0"/>
          <w:szCs w:val="21"/>
        </w:rPr>
        <w:t xml:space="preserve"> 　　</w:t>
      </w:r>
    </w:p>
    <w:p w:rsidR="00B97C6E" w:rsidRPr="00B97C6E" w:rsidRDefault="00B97C6E" w:rsidP="00B97C6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97C6E">
        <w:rPr>
          <w:rFonts w:ascii="楷体" w:eastAsia="楷体" w:hAnsi="楷体" w:cs="宋体" w:hint="eastAsia"/>
          <w:color w:val="000000"/>
          <w:kern w:val="0"/>
          <w:szCs w:val="21"/>
        </w:rPr>
        <w:t xml:space="preserve">　　　</w:t>
      </w:r>
    </w:p>
    <w:p w:rsidR="00B97C6E" w:rsidRPr="00B97C6E" w:rsidRDefault="00B97C6E" w:rsidP="00B97C6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97C6E" w:rsidRPr="00B97C6E" w:rsidTr="00B97C6E">
        <w:trPr>
          <w:tblCellSpacing w:w="15" w:type="dxa"/>
          <w:jc w:val="center"/>
        </w:trPr>
        <w:tc>
          <w:tcPr>
            <w:tcW w:w="900" w:type="dxa"/>
            <w:vAlign w:val="center"/>
            <w:hideMark/>
          </w:tcPr>
          <w:p w:rsidR="00B97C6E" w:rsidRPr="00B97C6E" w:rsidRDefault="00B97C6E" w:rsidP="00B97C6E">
            <w:pPr>
              <w:widowControl/>
              <w:jc w:val="left"/>
              <w:rPr>
                <w:rFonts w:ascii="宋体" w:eastAsia="宋体" w:hAnsi="宋体" w:cs="宋体" w:hint="eastAsia"/>
                <w:kern w:val="0"/>
                <w:sz w:val="18"/>
                <w:szCs w:val="18"/>
              </w:rPr>
            </w:pPr>
            <w:r w:rsidRPr="00B97C6E">
              <w:rPr>
                <w:rFonts w:ascii="宋体" w:eastAsia="宋体" w:hAnsi="宋体" w:cs="宋体"/>
                <w:kern w:val="0"/>
                <w:sz w:val="18"/>
                <w:szCs w:val="18"/>
              </w:rPr>
              <w:t> </w:t>
            </w:r>
          </w:p>
        </w:tc>
        <w:tc>
          <w:tcPr>
            <w:tcW w:w="1200" w:type="dxa"/>
            <w:vAlign w:val="center"/>
            <w:hideMark/>
          </w:tcPr>
          <w:p w:rsidR="00B97C6E" w:rsidRPr="00B97C6E" w:rsidRDefault="00B97C6E" w:rsidP="00B97C6E">
            <w:pPr>
              <w:widowControl/>
              <w:jc w:val="left"/>
              <w:rPr>
                <w:rFonts w:ascii="宋体" w:eastAsia="宋体" w:hAnsi="宋体" w:cs="宋体"/>
                <w:kern w:val="0"/>
                <w:sz w:val="18"/>
                <w:szCs w:val="18"/>
              </w:rPr>
            </w:pPr>
            <w:r w:rsidRPr="00B97C6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7C6E" w:rsidRPr="00B97C6E" w:rsidRDefault="00B97C6E" w:rsidP="00B97C6E">
            <w:pPr>
              <w:widowControl/>
              <w:jc w:val="left"/>
              <w:rPr>
                <w:rFonts w:ascii="宋体" w:eastAsia="宋体" w:hAnsi="宋体" w:cs="宋体"/>
                <w:kern w:val="0"/>
                <w:sz w:val="18"/>
                <w:szCs w:val="18"/>
              </w:rPr>
            </w:pPr>
            <w:r w:rsidRPr="00B97C6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97C6E" w:rsidRPr="00B97C6E" w:rsidRDefault="00B97C6E" w:rsidP="00B97C6E">
            <w:pPr>
              <w:widowControl/>
              <w:jc w:val="left"/>
              <w:rPr>
                <w:rFonts w:ascii="宋体" w:eastAsia="宋体" w:hAnsi="宋体" w:cs="宋体"/>
                <w:kern w:val="0"/>
                <w:sz w:val="18"/>
                <w:szCs w:val="18"/>
              </w:rPr>
            </w:pPr>
            <w:r w:rsidRPr="00B97C6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97C6E" w:rsidRPr="00B97C6E" w:rsidRDefault="00B97C6E" w:rsidP="00B97C6E">
      <w:pPr>
        <w:widowControl/>
        <w:jc w:val="center"/>
        <w:rPr>
          <w:rFonts w:ascii="微软雅黑" w:eastAsia="微软雅黑" w:hAnsi="微软雅黑" w:cs="宋体"/>
          <w:color w:val="515151"/>
          <w:kern w:val="0"/>
          <w:sz w:val="18"/>
          <w:szCs w:val="18"/>
        </w:rPr>
      </w:pPr>
      <w:hyperlink r:id="rId11" w:tgtFrame="_blank" w:history="1">
        <w:r w:rsidRPr="00B97C6E">
          <w:rPr>
            <w:rFonts w:ascii="微软雅黑" w:eastAsia="微软雅黑" w:hAnsi="微软雅黑" w:cs="宋体" w:hint="eastAsia"/>
            <w:color w:val="0000FF"/>
            <w:kern w:val="0"/>
            <w:sz w:val="18"/>
            <w:szCs w:val="18"/>
            <w:u w:val="single"/>
          </w:rPr>
          <w:t>关于我们</w:t>
        </w:r>
      </w:hyperlink>
      <w:r w:rsidRPr="00B97C6E">
        <w:rPr>
          <w:rFonts w:ascii="微软雅黑" w:eastAsia="微软雅黑" w:hAnsi="微软雅黑" w:cs="宋体" w:hint="eastAsia"/>
          <w:color w:val="515151"/>
          <w:kern w:val="0"/>
          <w:sz w:val="18"/>
          <w:szCs w:val="18"/>
        </w:rPr>
        <w:t> - </w:t>
      </w:r>
      <w:hyperlink r:id="rId12" w:tgtFrame="_blank" w:history="1">
        <w:r w:rsidRPr="00B97C6E">
          <w:rPr>
            <w:rFonts w:ascii="微软雅黑" w:eastAsia="微软雅黑" w:hAnsi="微软雅黑" w:cs="宋体" w:hint="eastAsia"/>
            <w:color w:val="0000FF"/>
            <w:kern w:val="0"/>
            <w:sz w:val="18"/>
            <w:szCs w:val="18"/>
            <w:u w:val="single"/>
          </w:rPr>
          <w:t>法律声明</w:t>
        </w:r>
      </w:hyperlink>
      <w:r w:rsidRPr="00B97C6E">
        <w:rPr>
          <w:rFonts w:ascii="微软雅黑" w:eastAsia="微软雅黑" w:hAnsi="微软雅黑" w:cs="宋体" w:hint="eastAsia"/>
          <w:color w:val="515151"/>
          <w:kern w:val="0"/>
          <w:sz w:val="18"/>
          <w:szCs w:val="18"/>
        </w:rPr>
        <w:t> - </w:t>
      </w:r>
      <w:hyperlink r:id="rId13" w:tgtFrame="_blank" w:history="1">
        <w:r w:rsidRPr="00B97C6E">
          <w:rPr>
            <w:rFonts w:ascii="微软雅黑" w:eastAsia="微软雅黑" w:hAnsi="微软雅黑" w:cs="宋体" w:hint="eastAsia"/>
            <w:color w:val="0000FF"/>
            <w:kern w:val="0"/>
            <w:sz w:val="18"/>
            <w:szCs w:val="18"/>
            <w:u w:val="single"/>
          </w:rPr>
          <w:t>联系我们</w:t>
        </w:r>
      </w:hyperlink>
    </w:p>
    <w:p w:rsidR="00B97C6E" w:rsidRPr="00B97C6E" w:rsidRDefault="00B97C6E" w:rsidP="00B97C6E">
      <w:pPr>
        <w:widowControl/>
        <w:jc w:val="center"/>
        <w:rPr>
          <w:rFonts w:ascii="微软雅黑" w:eastAsia="微软雅黑" w:hAnsi="微软雅黑" w:cs="宋体" w:hint="eastAsia"/>
          <w:color w:val="515151"/>
          <w:kern w:val="0"/>
          <w:sz w:val="18"/>
          <w:szCs w:val="18"/>
        </w:rPr>
      </w:pPr>
      <w:r w:rsidRPr="00B97C6E">
        <w:rPr>
          <w:rFonts w:ascii="微软雅黑" w:eastAsia="微软雅黑" w:hAnsi="微软雅黑" w:cs="宋体" w:hint="eastAsia"/>
          <w:color w:val="515151"/>
          <w:kern w:val="0"/>
          <w:sz w:val="18"/>
          <w:szCs w:val="18"/>
        </w:rPr>
        <w:t>版权所有：中国证券监督管理委员会 京ICP备 05035542号</w:t>
      </w:r>
    </w:p>
    <w:p w:rsidR="00B97C6E" w:rsidRPr="00B97C6E" w:rsidRDefault="00B97C6E" w:rsidP="00B97C6E">
      <w:pPr>
        <w:widowControl/>
        <w:jc w:val="center"/>
        <w:rPr>
          <w:rFonts w:ascii="微软雅黑" w:eastAsia="微软雅黑" w:hAnsi="微软雅黑" w:cs="宋体" w:hint="eastAsia"/>
          <w:color w:val="515151"/>
          <w:kern w:val="0"/>
          <w:sz w:val="18"/>
          <w:szCs w:val="18"/>
        </w:rPr>
      </w:pPr>
      <w:r w:rsidRPr="00B97C6E">
        <w:rPr>
          <w:rFonts w:ascii="微软雅黑" w:eastAsia="微软雅黑" w:hAnsi="微软雅黑" w:cs="宋体" w:hint="eastAsia"/>
          <w:color w:val="515151"/>
          <w:kern w:val="0"/>
          <w:sz w:val="18"/>
          <w:szCs w:val="18"/>
        </w:rPr>
        <w:t>地址：北京市西城区金融大街19号富凯大厦A座 邮编：100033</w:t>
      </w:r>
    </w:p>
    <w:p w:rsidR="00B97C6E" w:rsidRPr="00B97C6E" w:rsidRDefault="00B97C6E" w:rsidP="00B97C6E">
      <w:pPr>
        <w:widowControl/>
        <w:jc w:val="center"/>
        <w:rPr>
          <w:rFonts w:ascii="微软雅黑" w:eastAsia="微软雅黑" w:hAnsi="微软雅黑" w:cs="宋体" w:hint="eastAsia"/>
          <w:color w:val="515151"/>
          <w:kern w:val="0"/>
          <w:sz w:val="18"/>
          <w:szCs w:val="18"/>
        </w:rPr>
      </w:pPr>
      <w:r w:rsidRPr="00B97C6E">
        <w:rPr>
          <w:rFonts w:ascii="微软雅黑" w:eastAsia="微软雅黑" w:hAnsi="微软雅黑" w:cs="宋体" w:hint="eastAsia"/>
          <w:color w:val="515151"/>
          <w:kern w:val="0"/>
          <w:sz w:val="18"/>
          <w:szCs w:val="18"/>
        </w:rPr>
        <w:t>建议使用IE5.5以上浏览器，分辨率1024*768</w:t>
      </w:r>
    </w:p>
    <w:p w:rsidR="00F71849" w:rsidRPr="00B97C6E" w:rsidRDefault="00F71849"/>
    <w:sectPr w:rsidR="00F71849" w:rsidRPr="00B97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6E"/>
    <w:rsid w:val="00B97C6E"/>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38AF0-9027-4DEB-8CAA-45657ABB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C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97C6E"/>
    <w:rPr>
      <w:b/>
      <w:bCs/>
    </w:rPr>
  </w:style>
  <w:style w:type="character" w:styleId="a5">
    <w:name w:val="Hyperlink"/>
    <w:basedOn w:val="a0"/>
    <w:uiPriority w:val="99"/>
    <w:semiHidden/>
    <w:unhideWhenUsed/>
    <w:rsid w:val="00B9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85463">
      <w:bodyDiv w:val="1"/>
      <w:marLeft w:val="0"/>
      <w:marRight w:val="0"/>
      <w:marTop w:val="0"/>
      <w:marBottom w:val="0"/>
      <w:divBdr>
        <w:top w:val="none" w:sz="0" w:space="0" w:color="auto"/>
        <w:left w:val="none" w:sz="0" w:space="0" w:color="auto"/>
        <w:bottom w:val="none" w:sz="0" w:space="0" w:color="auto"/>
        <w:right w:val="none" w:sz="0" w:space="0" w:color="auto"/>
      </w:divBdr>
      <w:divsChild>
        <w:div w:id="1062173506">
          <w:marLeft w:val="0"/>
          <w:marRight w:val="0"/>
          <w:marTop w:val="150"/>
          <w:marBottom w:val="150"/>
          <w:divBdr>
            <w:top w:val="none" w:sz="0" w:space="0" w:color="auto"/>
            <w:left w:val="none" w:sz="0" w:space="0" w:color="auto"/>
            <w:bottom w:val="none" w:sz="0" w:space="0" w:color="auto"/>
            <w:right w:val="none" w:sz="0" w:space="0" w:color="auto"/>
          </w:divBdr>
        </w:div>
        <w:div w:id="712392425">
          <w:marLeft w:val="0"/>
          <w:marRight w:val="0"/>
          <w:marTop w:val="0"/>
          <w:marBottom w:val="0"/>
          <w:divBdr>
            <w:top w:val="single" w:sz="6" w:space="8" w:color="B5B5B5"/>
            <w:left w:val="single" w:sz="6" w:space="0" w:color="B5B5B5"/>
            <w:bottom w:val="single" w:sz="6" w:space="8" w:color="B5B5B5"/>
            <w:right w:val="single" w:sz="6" w:space="0" w:color="B5B5B5"/>
          </w:divBdr>
          <w:divsChild>
            <w:div w:id="947783151">
              <w:marLeft w:val="0"/>
              <w:marRight w:val="0"/>
              <w:marTop w:val="0"/>
              <w:marBottom w:val="0"/>
              <w:divBdr>
                <w:top w:val="none" w:sz="0" w:space="0" w:color="auto"/>
                <w:left w:val="none" w:sz="0" w:space="0" w:color="auto"/>
                <w:bottom w:val="none" w:sz="0" w:space="0" w:color="auto"/>
                <w:right w:val="none" w:sz="0" w:space="0" w:color="auto"/>
              </w:divBdr>
            </w:div>
            <w:div w:id="434131872">
              <w:marLeft w:val="0"/>
              <w:marRight w:val="0"/>
              <w:marTop w:val="0"/>
              <w:marBottom w:val="0"/>
              <w:divBdr>
                <w:top w:val="none" w:sz="0" w:space="0" w:color="auto"/>
                <w:left w:val="none" w:sz="0" w:space="0" w:color="auto"/>
                <w:bottom w:val="none" w:sz="0" w:space="0" w:color="auto"/>
                <w:right w:val="none" w:sz="0" w:space="0" w:color="auto"/>
              </w:divBdr>
            </w:div>
            <w:div w:id="2083990208">
              <w:marLeft w:val="0"/>
              <w:marRight w:val="0"/>
              <w:marTop w:val="120"/>
              <w:marBottom w:val="120"/>
              <w:divBdr>
                <w:top w:val="none" w:sz="0" w:space="0" w:color="auto"/>
                <w:left w:val="none" w:sz="0" w:space="0" w:color="auto"/>
                <w:bottom w:val="none" w:sz="0" w:space="0" w:color="auto"/>
                <w:right w:val="none" w:sz="0" w:space="0" w:color="auto"/>
              </w:divBdr>
            </w:div>
          </w:divsChild>
        </w:div>
        <w:div w:id="1980499509">
          <w:marLeft w:val="0"/>
          <w:marRight w:val="0"/>
          <w:marTop w:val="120"/>
          <w:marBottom w:val="0"/>
          <w:divBdr>
            <w:top w:val="none" w:sz="0" w:space="0" w:color="auto"/>
            <w:left w:val="none" w:sz="0" w:space="0" w:color="auto"/>
            <w:bottom w:val="none" w:sz="0" w:space="0" w:color="auto"/>
            <w:right w:val="none" w:sz="0" w:space="0" w:color="auto"/>
          </w:divBdr>
          <w:divsChild>
            <w:div w:id="287511603">
              <w:marLeft w:val="0"/>
              <w:marRight w:val="0"/>
              <w:marTop w:val="60"/>
              <w:marBottom w:val="0"/>
              <w:divBdr>
                <w:top w:val="none" w:sz="0" w:space="0" w:color="auto"/>
                <w:left w:val="none" w:sz="0" w:space="0" w:color="auto"/>
                <w:bottom w:val="none" w:sz="0" w:space="0" w:color="auto"/>
                <w:right w:val="none" w:sz="0" w:space="0" w:color="auto"/>
              </w:divBdr>
            </w:div>
            <w:div w:id="25914972">
              <w:marLeft w:val="0"/>
              <w:marRight w:val="0"/>
              <w:marTop w:val="60"/>
              <w:marBottom w:val="0"/>
              <w:divBdr>
                <w:top w:val="none" w:sz="0" w:space="0" w:color="auto"/>
                <w:left w:val="none" w:sz="0" w:space="0" w:color="auto"/>
                <w:bottom w:val="none" w:sz="0" w:space="0" w:color="auto"/>
                <w:right w:val="none" w:sz="0" w:space="0" w:color="auto"/>
              </w:divBdr>
            </w:div>
            <w:div w:id="1733504410">
              <w:marLeft w:val="0"/>
              <w:marRight w:val="0"/>
              <w:marTop w:val="60"/>
              <w:marBottom w:val="0"/>
              <w:divBdr>
                <w:top w:val="none" w:sz="0" w:space="0" w:color="auto"/>
                <w:left w:val="none" w:sz="0" w:space="0" w:color="auto"/>
                <w:bottom w:val="none" w:sz="0" w:space="0" w:color="auto"/>
                <w:right w:val="none" w:sz="0" w:space="0" w:color="auto"/>
              </w:divBdr>
            </w:div>
            <w:div w:id="18898032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26_36370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2020-02-13T09:23:00Z</dcterms:created>
  <dcterms:modified xsi:type="dcterms:W3CDTF">2020-02-13T09:23:00Z</dcterms:modified>
</cp:coreProperties>
</file>