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B34AFC" w:rsidRPr="00B34AFC" w14:paraId="32C8F789" w14:textId="77777777" w:rsidTr="00B34AFC">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B34AFC" w:rsidRPr="00B34AFC" w14:paraId="55BDC609" w14:textId="77777777">
              <w:trPr>
                <w:tblCellSpacing w:w="0" w:type="dxa"/>
              </w:trPr>
              <w:tc>
                <w:tcPr>
                  <w:tcW w:w="2500" w:type="pct"/>
                  <w:tcMar>
                    <w:top w:w="30" w:type="dxa"/>
                    <w:left w:w="30" w:type="dxa"/>
                    <w:bottom w:w="30" w:type="dxa"/>
                    <w:right w:w="30" w:type="dxa"/>
                  </w:tcMar>
                  <w:hideMark/>
                </w:tcPr>
                <w:p w14:paraId="435E4038" w14:textId="216D1090" w:rsidR="00B34AFC" w:rsidRPr="00B34AFC" w:rsidRDefault="00B34AFC" w:rsidP="00B34AFC">
                  <w:pPr>
                    <w:widowControl/>
                    <w:jc w:val="left"/>
                    <w:rPr>
                      <w:rFonts w:ascii="宋体" w:eastAsia="宋体" w:hAnsi="宋体" w:cs="宋体" w:hint="eastAsia"/>
                      <w:color w:val="686868"/>
                      <w:kern w:val="0"/>
                      <w:sz w:val="18"/>
                      <w:szCs w:val="18"/>
                    </w:rPr>
                  </w:pPr>
                  <w:r w:rsidRPr="00B34AFC">
                    <w:rPr>
                      <w:rFonts w:ascii="宋体" w:eastAsia="宋体" w:hAnsi="宋体" w:cs="宋体"/>
                      <w:b/>
                      <w:bCs/>
                      <w:color w:val="686868"/>
                      <w:kern w:val="0"/>
                      <w:sz w:val="18"/>
                      <w:szCs w:val="18"/>
                    </w:rPr>
                    <w:t>索 引 号:</w:t>
                  </w:r>
                  <w:r w:rsidR="00CD0DB2" w:rsidRPr="00B34AFC">
                    <w:rPr>
                      <w:rFonts w:ascii="宋体" w:eastAsia="宋体" w:hAnsi="宋体" w:cs="宋体"/>
                      <w:color w:val="686868"/>
                      <w:kern w:val="0"/>
                      <w:sz w:val="18"/>
                      <w:szCs w:val="18"/>
                    </w:rPr>
                    <w:t xml:space="preserve"> </w:t>
                  </w:r>
                  <w:r w:rsidR="00CD0DB2" w:rsidRPr="00CD0DB2">
                    <w:rPr>
                      <w:rFonts w:ascii="宋体" w:eastAsia="宋体" w:hAnsi="宋体" w:cs="宋体" w:hint="eastAsia"/>
                      <w:color w:val="686868"/>
                      <w:kern w:val="0"/>
                      <w:sz w:val="18"/>
                      <w:szCs w:val="18"/>
                    </w:rPr>
                    <w:t>bm56000001/2021-00204405</w:t>
                  </w:r>
                </w:p>
              </w:tc>
              <w:tc>
                <w:tcPr>
                  <w:tcW w:w="0" w:type="auto"/>
                  <w:tcMar>
                    <w:top w:w="30" w:type="dxa"/>
                    <w:left w:w="30" w:type="dxa"/>
                    <w:bottom w:w="30" w:type="dxa"/>
                    <w:right w:w="30" w:type="dxa"/>
                  </w:tcMar>
                  <w:hideMark/>
                </w:tcPr>
                <w:p w14:paraId="11D28ED2" w14:textId="77777777" w:rsidR="00B34AFC" w:rsidRPr="00B34AFC" w:rsidRDefault="00B34AFC" w:rsidP="00B34AFC">
                  <w:pPr>
                    <w:widowControl/>
                    <w:jc w:val="left"/>
                    <w:rPr>
                      <w:rFonts w:ascii="宋体" w:eastAsia="宋体" w:hAnsi="宋体" w:cs="宋体" w:hint="eastAsia"/>
                      <w:color w:val="686868"/>
                      <w:kern w:val="0"/>
                      <w:sz w:val="18"/>
                      <w:szCs w:val="18"/>
                    </w:rPr>
                  </w:pPr>
                  <w:r w:rsidRPr="00B34AFC">
                    <w:rPr>
                      <w:rFonts w:ascii="宋体" w:eastAsia="宋体" w:hAnsi="宋体" w:cs="宋体"/>
                      <w:b/>
                      <w:bCs/>
                      <w:color w:val="686868"/>
                      <w:kern w:val="0"/>
                      <w:sz w:val="18"/>
                      <w:szCs w:val="18"/>
                    </w:rPr>
                    <w:t>分类:</w:t>
                  </w:r>
                  <w:r w:rsidRPr="00B34AFC">
                    <w:rPr>
                      <w:rFonts w:ascii="宋体" w:eastAsia="宋体" w:hAnsi="宋体" w:cs="宋体"/>
                      <w:color w:val="686868"/>
                      <w:kern w:val="0"/>
                      <w:sz w:val="18"/>
                      <w:szCs w:val="18"/>
                    </w:rPr>
                    <w:t> 行政处罚 ; 行政处罚决定</w:t>
                  </w:r>
                </w:p>
              </w:tc>
            </w:tr>
          </w:tbl>
          <w:p w14:paraId="6C632680" w14:textId="77777777" w:rsidR="00B34AFC" w:rsidRPr="00B34AFC" w:rsidRDefault="00B34AFC" w:rsidP="00B34AFC">
            <w:pPr>
              <w:widowControl/>
              <w:jc w:val="left"/>
              <w:rPr>
                <w:rFonts w:ascii="宋体" w:eastAsia="宋体" w:hAnsi="宋体" w:cs="宋体" w:hint="eastAsia"/>
                <w:color w:val="686868"/>
                <w:kern w:val="0"/>
                <w:sz w:val="18"/>
                <w:szCs w:val="18"/>
              </w:rPr>
            </w:pPr>
          </w:p>
        </w:tc>
      </w:tr>
      <w:tr w:rsidR="00B34AFC" w:rsidRPr="00B34AFC" w14:paraId="7B0E9DB5" w14:textId="77777777" w:rsidTr="00B34AFC">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B34AFC" w:rsidRPr="00B34AFC" w14:paraId="0ADE00E9" w14:textId="77777777">
              <w:trPr>
                <w:tblCellSpacing w:w="0" w:type="dxa"/>
              </w:trPr>
              <w:tc>
                <w:tcPr>
                  <w:tcW w:w="2500" w:type="pct"/>
                  <w:tcMar>
                    <w:top w:w="30" w:type="dxa"/>
                    <w:left w:w="30" w:type="dxa"/>
                    <w:bottom w:w="30" w:type="dxa"/>
                    <w:right w:w="30" w:type="dxa"/>
                  </w:tcMar>
                  <w:hideMark/>
                </w:tcPr>
                <w:p w14:paraId="62CD0022" w14:textId="77777777" w:rsidR="00B34AFC" w:rsidRPr="00B34AFC" w:rsidRDefault="00B34AFC" w:rsidP="00B34AFC">
                  <w:pPr>
                    <w:widowControl/>
                    <w:jc w:val="left"/>
                    <w:rPr>
                      <w:rFonts w:ascii="宋体" w:eastAsia="宋体" w:hAnsi="宋体" w:cs="宋体" w:hint="eastAsia"/>
                      <w:color w:val="686868"/>
                      <w:kern w:val="0"/>
                      <w:sz w:val="18"/>
                      <w:szCs w:val="18"/>
                    </w:rPr>
                  </w:pPr>
                  <w:r w:rsidRPr="00B34AFC">
                    <w:rPr>
                      <w:rFonts w:ascii="宋体" w:eastAsia="宋体" w:hAnsi="宋体" w:cs="宋体"/>
                      <w:b/>
                      <w:bCs/>
                      <w:color w:val="686868"/>
                      <w:kern w:val="0"/>
                      <w:sz w:val="18"/>
                      <w:szCs w:val="18"/>
                    </w:rPr>
                    <w:t>发布机构:</w:t>
                  </w:r>
                  <w:r w:rsidRPr="00B34AF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6D8B0F7C" w14:textId="77777777" w:rsidR="00B34AFC" w:rsidRPr="00B34AFC" w:rsidRDefault="00B34AFC" w:rsidP="00B34AFC">
                  <w:pPr>
                    <w:widowControl/>
                    <w:jc w:val="left"/>
                    <w:rPr>
                      <w:rFonts w:ascii="宋体" w:eastAsia="宋体" w:hAnsi="宋体" w:cs="宋体" w:hint="eastAsia"/>
                      <w:color w:val="686868"/>
                      <w:kern w:val="0"/>
                      <w:sz w:val="18"/>
                      <w:szCs w:val="18"/>
                    </w:rPr>
                  </w:pPr>
                  <w:r w:rsidRPr="00B34AFC">
                    <w:rPr>
                      <w:rFonts w:ascii="宋体" w:eastAsia="宋体" w:hAnsi="宋体" w:cs="宋体"/>
                      <w:b/>
                      <w:bCs/>
                      <w:color w:val="686868"/>
                      <w:kern w:val="0"/>
                      <w:sz w:val="18"/>
                      <w:szCs w:val="18"/>
                    </w:rPr>
                    <w:t>发文日期:</w:t>
                  </w:r>
                  <w:r w:rsidRPr="00B34AFC">
                    <w:rPr>
                      <w:rFonts w:ascii="宋体" w:eastAsia="宋体" w:hAnsi="宋体" w:cs="宋体"/>
                      <w:color w:val="686868"/>
                      <w:kern w:val="0"/>
                      <w:sz w:val="18"/>
                      <w:szCs w:val="18"/>
                    </w:rPr>
                    <w:t> 2020年11月30日</w:t>
                  </w:r>
                </w:p>
              </w:tc>
            </w:tr>
          </w:tbl>
          <w:p w14:paraId="01D59DAD" w14:textId="77777777" w:rsidR="00B34AFC" w:rsidRPr="00B34AFC" w:rsidRDefault="00B34AFC" w:rsidP="00B34AFC">
            <w:pPr>
              <w:widowControl/>
              <w:jc w:val="left"/>
              <w:rPr>
                <w:rFonts w:ascii="宋体" w:eastAsia="宋体" w:hAnsi="宋体" w:cs="宋体" w:hint="eastAsia"/>
                <w:color w:val="686868"/>
                <w:kern w:val="0"/>
                <w:sz w:val="18"/>
                <w:szCs w:val="18"/>
              </w:rPr>
            </w:pPr>
          </w:p>
        </w:tc>
      </w:tr>
      <w:tr w:rsidR="00B34AFC" w:rsidRPr="00B34AFC" w14:paraId="76A4BFFD" w14:textId="77777777" w:rsidTr="00B34AFC">
        <w:trPr>
          <w:tblCellSpacing w:w="0" w:type="dxa"/>
          <w:jc w:val="center"/>
        </w:trPr>
        <w:tc>
          <w:tcPr>
            <w:tcW w:w="0" w:type="auto"/>
            <w:tcMar>
              <w:top w:w="30" w:type="dxa"/>
              <w:left w:w="30" w:type="dxa"/>
              <w:bottom w:w="30" w:type="dxa"/>
              <w:right w:w="30" w:type="dxa"/>
            </w:tcMar>
            <w:hideMark/>
          </w:tcPr>
          <w:p w14:paraId="7AC51ADE" w14:textId="77777777" w:rsidR="00B34AFC" w:rsidRPr="00B34AFC" w:rsidRDefault="00B34AFC" w:rsidP="00B34AFC">
            <w:pPr>
              <w:widowControl/>
              <w:jc w:val="left"/>
              <w:rPr>
                <w:rFonts w:ascii="宋体" w:eastAsia="宋体" w:hAnsi="宋体" w:cs="宋体" w:hint="eastAsia"/>
                <w:color w:val="686868"/>
                <w:kern w:val="0"/>
                <w:sz w:val="18"/>
                <w:szCs w:val="18"/>
              </w:rPr>
            </w:pPr>
            <w:r w:rsidRPr="00B34AFC">
              <w:rPr>
                <w:rFonts w:ascii="宋体" w:eastAsia="宋体" w:hAnsi="宋体" w:cs="宋体"/>
                <w:b/>
                <w:bCs/>
                <w:color w:val="686868"/>
                <w:kern w:val="0"/>
                <w:sz w:val="18"/>
                <w:szCs w:val="18"/>
              </w:rPr>
              <w:t>名　　称:</w:t>
            </w:r>
            <w:r w:rsidRPr="00B34AFC">
              <w:rPr>
                <w:rFonts w:ascii="宋体" w:eastAsia="宋体" w:hAnsi="宋体" w:cs="宋体"/>
                <w:color w:val="686868"/>
                <w:kern w:val="0"/>
                <w:sz w:val="18"/>
                <w:szCs w:val="18"/>
              </w:rPr>
              <w:t> 中国证监会行政处罚决定书（蓝海韬略、苏思通）</w:t>
            </w:r>
          </w:p>
        </w:tc>
      </w:tr>
      <w:tr w:rsidR="00B34AFC" w:rsidRPr="00B34AFC" w14:paraId="56F65EFB" w14:textId="77777777" w:rsidTr="00B34AFC">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B34AFC" w:rsidRPr="00B34AFC" w14:paraId="4494A05B" w14:textId="77777777">
              <w:trPr>
                <w:tblCellSpacing w:w="0" w:type="dxa"/>
              </w:trPr>
              <w:tc>
                <w:tcPr>
                  <w:tcW w:w="2500" w:type="pct"/>
                  <w:tcMar>
                    <w:top w:w="30" w:type="dxa"/>
                    <w:left w:w="30" w:type="dxa"/>
                    <w:bottom w:w="30" w:type="dxa"/>
                    <w:right w:w="30" w:type="dxa"/>
                  </w:tcMar>
                  <w:hideMark/>
                </w:tcPr>
                <w:p w14:paraId="29664B2B" w14:textId="77777777" w:rsidR="00B34AFC" w:rsidRPr="00B34AFC" w:rsidRDefault="00B34AFC" w:rsidP="00B34AFC">
                  <w:pPr>
                    <w:widowControl/>
                    <w:jc w:val="left"/>
                    <w:rPr>
                      <w:rFonts w:ascii="宋体" w:eastAsia="宋体" w:hAnsi="宋体" w:cs="宋体" w:hint="eastAsia"/>
                      <w:color w:val="686868"/>
                      <w:kern w:val="0"/>
                      <w:sz w:val="18"/>
                      <w:szCs w:val="18"/>
                    </w:rPr>
                  </w:pPr>
                  <w:r w:rsidRPr="00B34AFC">
                    <w:rPr>
                      <w:rFonts w:ascii="宋体" w:eastAsia="宋体" w:hAnsi="宋体" w:cs="宋体"/>
                      <w:b/>
                      <w:bCs/>
                      <w:color w:val="686868"/>
                      <w:kern w:val="0"/>
                      <w:sz w:val="18"/>
                      <w:szCs w:val="18"/>
                    </w:rPr>
                    <w:t>文　　号:</w:t>
                  </w:r>
                  <w:r w:rsidRPr="00B34AFC">
                    <w:rPr>
                      <w:rFonts w:ascii="宋体" w:eastAsia="宋体" w:hAnsi="宋体" w:cs="宋体"/>
                      <w:color w:val="686868"/>
                      <w:kern w:val="0"/>
                      <w:sz w:val="18"/>
                      <w:szCs w:val="18"/>
                    </w:rPr>
                    <w:t> 〔2020〕102号</w:t>
                  </w:r>
                </w:p>
              </w:tc>
              <w:tc>
                <w:tcPr>
                  <w:tcW w:w="0" w:type="auto"/>
                  <w:tcMar>
                    <w:top w:w="30" w:type="dxa"/>
                    <w:left w:w="30" w:type="dxa"/>
                    <w:bottom w:w="30" w:type="dxa"/>
                    <w:right w:w="30" w:type="dxa"/>
                  </w:tcMar>
                  <w:hideMark/>
                </w:tcPr>
                <w:p w14:paraId="545E66A5" w14:textId="77777777" w:rsidR="00B34AFC" w:rsidRPr="00B34AFC" w:rsidRDefault="00B34AFC" w:rsidP="00B34AFC">
                  <w:pPr>
                    <w:widowControl/>
                    <w:jc w:val="left"/>
                    <w:rPr>
                      <w:rFonts w:ascii="宋体" w:eastAsia="宋体" w:hAnsi="宋体" w:cs="宋体" w:hint="eastAsia"/>
                      <w:color w:val="686868"/>
                      <w:kern w:val="0"/>
                      <w:sz w:val="18"/>
                      <w:szCs w:val="18"/>
                    </w:rPr>
                  </w:pPr>
                  <w:r w:rsidRPr="00B34AFC">
                    <w:rPr>
                      <w:rFonts w:ascii="宋体" w:eastAsia="宋体" w:hAnsi="宋体" w:cs="宋体"/>
                      <w:b/>
                      <w:bCs/>
                      <w:color w:val="686868"/>
                      <w:kern w:val="0"/>
                      <w:sz w:val="18"/>
                      <w:szCs w:val="18"/>
                    </w:rPr>
                    <w:t>主 题 词:</w:t>
                  </w:r>
                </w:p>
              </w:tc>
            </w:tr>
          </w:tbl>
          <w:p w14:paraId="14D8A9CA" w14:textId="77777777" w:rsidR="00B34AFC" w:rsidRPr="00B34AFC" w:rsidRDefault="00B34AFC" w:rsidP="00B34AFC">
            <w:pPr>
              <w:widowControl/>
              <w:jc w:val="left"/>
              <w:rPr>
                <w:rFonts w:ascii="宋体" w:eastAsia="宋体" w:hAnsi="宋体" w:cs="宋体" w:hint="eastAsia"/>
                <w:color w:val="686868"/>
                <w:kern w:val="0"/>
                <w:sz w:val="18"/>
                <w:szCs w:val="18"/>
              </w:rPr>
            </w:pPr>
          </w:p>
        </w:tc>
      </w:tr>
    </w:tbl>
    <w:p w14:paraId="44A6B0A7" w14:textId="77777777" w:rsidR="00B34AFC" w:rsidRPr="00B34AFC" w:rsidRDefault="00000000" w:rsidP="00B34AFC">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0ABD4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49D3DEF8" w14:textId="77777777" w:rsidR="00B34AFC" w:rsidRPr="00B34AFC" w:rsidRDefault="00B34AFC" w:rsidP="00B34AFC">
      <w:pPr>
        <w:widowControl/>
        <w:shd w:val="clear" w:color="auto" w:fill="FFFFFF"/>
        <w:spacing w:after="240"/>
        <w:jc w:val="center"/>
        <w:rPr>
          <w:rFonts w:ascii="微软雅黑" w:eastAsia="微软雅黑" w:hAnsi="微软雅黑" w:cs="宋体" w:hint="eastAsia"/>
          <w:color w:val="000000"/>
          <w:kern w:val="0"/>
          <w:sz w:val="18"/>
          <w:szCs w:val="18"/>
        </w:rPr>
      </w:pPr>
      <w:r w:rsidRPr="00B34AFC">
        <w:rPr>
          <w:rFonts w:ascii="微软雅黑" w:eastAsia="微软雅黑" w:hAnsi="微软雅黑" w:cs="宋体" w:hint="eastAsia"/>
          <w:color w:val="000000"/>
          <w:kern w:val="0"/>
          <w:sz w:val="18"/>
          <w:szCs w:val="18"/>
        </w:rPr>
        <w:br/>
      </w:r>
      <w:r w:rsidRPr="00B34AFC">
        <w:rPr>
          <w:rFonts w:ascii="黑体" w:eastAsia="黑体" w:hAnsi="黑体" w:cs="宋体" w:hint="eastAsia"/>
          <w:b/>
          <w:bCs/>
          <w:color w:val="FF0000"/>
          <w:kern w:val="0"/>
          <w:sz w:val="36"/>
          <w:szCs w:val="36"/>
        </w:rPr>
        <w:t>中国证监会行政处罚决定书（蓝海韬略、苏思通）</w:t>
      </w:r>
    </w:p>
    <w:p w14:paraId="601DA3F0" w14:textId="77777777" w:rsidR="00B34AFC" w:rsidRPr="00B34AFC" w:rsidRDefault="00B34AFC" w:rsidP="00B34AFC">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〔2020〕102号</w:t>
      </w:r>
    </w:p>
    <w:p w14:paraId="6C2711D7" w14:textId="77777777" w:rsidR="00B34AFC" w:rsidRPr="00B34AFC" w:rsidRDefault="00B34AFC" w:rsidP="00B34AFC">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B34AFC">
        <w:rPr>
          <w:rFonts w:ascii="宋体" w:eastAsia="宋体" w:hAnsi="宋体" w:cs="宋体" w:hint="eastAsia"/>
          <w:b/>
          <w:bCs/>
          <w:color w:val="000000"/>
          <w:kern w:val="0"/>
          <w:szCs w:val="21"/>
        </w:rPr>
        <w:t> </w:t>
      </w:r>
    </w:p>
    <w:p w14:paraId="31E45546"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宋体" w:eastAsia="宋体" w:hAnsi="宋体" w:cs="宋体" w:hint="eastAsia"/>
          <w:color w:val="000000"/>
          <w:kern w:val="0"/>
          <w:szCs w:val="21"/>
        </w:rPr>
        <w:t>当事人：北京蓝海韬略资本运营中心（有限合伙）（以下简称蓝海韬略），住所：上海市浦东</w:t>
      </w:r>
      <w:proofErr w:type="gramStart"/>
      <w:r w:rsidRPr="00B34AFC">
        <w:rPr>
          <w:rFonts w:ascii="宋体" w:eastAsia="宋体" w:hAnsi="宋体" w:cs="宋体" w:hint="eastAsia"/>
          <w:color w:val="000000"/>
          <w:kern w:val="0"/>
          <w:szCs w:val="21"/>
        </w:rPr>
        <w:t>新区杨</w:t>
      </w:r>
      <w:proofErr w:type="gramEnd"/>
      <w:r w:rsidRPr="00B34AFC">
        <w:rPr>
          <w:rFonts w:ascii="宋体" w:eastAsia="宋体" w:hAnsi="宋体" w:cs="宋体" w:hint="eastAsia"/>
          <w:color w:val="000000"/>
          <w:kern w:val="0"/>
          <w:szCs w:val="21"/>
        </w:rPr>
        <w:t>高南路759号陆家嘴世纪金融广场2号楼1004室。</w:t>
      </w:r>
    </w:p>
    <w:p w14:paraId="1FA83520"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苏思通，男，1983年8月出生，时任蓝海韬略执行事务合伙人，住址：山东省</w:t>
      </w:r>
      <w:proofErr w:type="gramStart"/>
      <w:r w:rsidRPr="00B34AFC">
        <w:rPr>
          <w:rFonts w:ascii="楷体" w:eastAsia="楷体" w:hAnsi="楷体" w:cs="宋体" w:hint="eastAsia"/>
          <w:color w:val="000000"/>
          <w:kern w:val="0"/>
          <w:szCs w:val="21"/>
        </w:rPr>
        <w:t>单县浮岗镇</w:t>
      </w:r>
      <w:proofErr w:type="gramEnd"/>
      <w:r w:rsidRPr="00B34AFC">
        <w:rPr>
          <w:rFonts w:ascii="楷体" w:eastAsia="楷体" w:hAnsi="楷体" w:cs="宋体" w:hint="eastAsia"/>
          <w:color w:val="000000"/>
          <w:kern w:val="0"/>
          <w:szCs w:val="21"/>
        </w:rPr>
        <w:t>。</w:t>
      </w:r>
    </w:p>
    <w:p w14:paraId="130AC62C"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依据2005年修订的《中华人民共和国证券法》（以下简称2005年《证券法》）的有关规定，我会对蓝海韬略内幕交易行为进行了立案调查、审理，并依法向当事人告知了</w:t>
      </w:r>
      <w:proofErr w:type="gramStart"/>
      <w:r w:rsidRPr="00B34AFC">
        <w:rPr>
          <w:rFonts w:ascii="楷体" w:eastAsia="楷体" w:hAnsi="楷体" w:cs="宋体" w:hint="eastAsia"/>
          <w:color w:val="000000"/>
          <w:kern w:val="0"/>
          <w:szCs w:val="21"/>
        </w:rPr>
        <w:t>作出</w:t>
      </w:r>
      <w:proofErr w:type="gramEnd"/>
      <w:r w:rsidRPr="00B34AFC">
        <w:rPr>
          <w:rFonts w:ascii="楷体" w:eastAsia="楷体" w:hAnsi="楷体" w:cs="宋体" w:hint="eastAsia"/>
          <w:color w:val="000000"/>
          <w:kern w:val="0"/>
          <w:szCs w:val="21"/>
        </w:rPr>
        <w:t>行政处罚的事实、理由、依据及当事人依法享有的权利，应当事人蓝海韬略和苏思通的要求于2020年8月26日举行了听证会，听取了当事人及其代理人的陈述和申辩。本案现已调查、审理终结。</w:t>
      </w:r>
    </w:p>
    <w:p w14:paraId="1F614CA5"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经查明，蓝海韬略存在以下违法事实：</w:t>
      </w:r>
    </w:p>
    <w:p w14:paraId="72C6146E"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宋体" w:eastAsia="宋体" w:hAnsi="宋体" w:cs="宋体" w:hint="eastAsia"/>
          <w:color w:val="000000"/>
          <w:kern w:val="0"/>
          <w:szCs w:val="21"/>
        </w:rPr>
        <w:t>一、内幕信息的形成与公开过程</w:t>
      </w:r>
    </w:p>
    <w:p w14:paraId="340AAC88"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2014年12月，成都亚光电子股份有限公司（以下简称成都亚光）控股子公司成都欣华欣化工材料有限公司（持股58.2%，以下简称欣华欣）发生巨大亏损，成都亚</w:t>
      </w:r>
      <w:proofErr w:type="gramStart"/>
      <w:r w:rsidRPr="00B34AFC">
        <w:rPr>
          <w:rFonts w:ascii="楷体" w:eastAsia="楷体" w:hAnsi="楷体" w:cs="宋体" w:hint="eastAsia"/>
          <w:color w:val="000000"/>
          <w:kern w:val="0"/>
          <w:szCs w:val="21"/>
        </w:rPr>
        <w:t>光面临</w:t>
      </w:r>
      <w:proofErr w:type="gramEnd"/>
      <w:r w:rsidRPr="00B34AFC">
        <w:rPr>
          <w:rFonts w:ascii="楷体" w:eastAsia="楷体" w:hAnsi="楷体" w:cs="宋体" w:hint="eastAsia"/>
          <w:color w:val="000000"/>
          <w:kern w:val="0"/>
          <w:szCs w:val="21"/>
        </w:rPr>
        <w:t>严峻形势，成都市政府会同中国航空技术国际控股有限公司，确定了向成都亚光注资6亿元的解决方案。2015年12月30日，成都市三家国资公司和成都亚光自然人股东之一周某共同签署了增资扩股协议。进行增资时，上述股东都表达待成都亚光</w:t>
      </w:r>
      <w:proofErr w:type="gramStart"/>
      <w:r w:rsidRPr="00B34AFC">
        <w:rPr>
          <w:rFonts w:ascii="楷体" w:eastAsia="楷体" w:hAnsi="楷体" w:cs="宋体" w:hint="eastAsia"/>
          <w:color w:val="000000"/>
          <w:kern w:val="0"/>
          <w:szCs w:val="21"/>
        </w:rPr>
        <w:t>把欣华欣</w:t>
      </w:r>
      <w:proofErr w:type="gramEnd"/>
      <w:r w:rsidRPr="00B34AFC">
        <w:rPr>
          <w:rFonts w:ascii="楷体" w:eastAsia="楷体" w:hAnsi="楷体" w:cs="宋体" w:hint="eastAsia"/>
          <w:color w:val="000000"/>
          <w:kern w:val="0"/>
          <w:szCs w:val="21"/>
        </w:rPr>
        <w:t>剥离之后，通过资本市场以资产重组等方式退出的意愿。2016年4月8日，国资委批复同意成都亚光增资扩股方案。2016年4月13日，成都亚光完成增资后的工商局备案工作。2016年5月，成都永和顺贸易有限公司（以下简称成都永和顺）、成都市第三产业实业发展公司（以下简称成都第三实业公司）组成竞买联合体受让欣华欣58.2%股权。</w:t>
      </w:r>
    </w:p>
    <w:p w14:paraId="1889BEE4"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在成都亚光增资前后，周某的配偶羊某文开始寻找有意向合作的上市公司。</w:t>
      </w:r>
    </w:p>
    <w:p w14:paraId="776CF05D"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lastRenderedPageBreak/>
        <w:t>2015年7月27日至2016年4月27日期间，在羊某</w:t>
      </w:r>
      <w:proofErr w:type="gramStart"/>
      <w:r w:rsidRPr="00B34AFC">
        <w:rPr>
          <w:rFonts w:ascii="楷体" w:eastAsia="楷体" w:hAnsi="楷体" w:cs="宋体" w:hint="eastAsia"/>
          <w:color w:val="000000"/>
          <w:kern w:val="0"/>
          <w:szCs w:val="21"/>
        </w:rPr>
        <w:t>文协调</w:t>
      </w:r>
      <w:proofErr w:type="gramEnd"/>
      <w:r w:rsidRPr="00B34AFC">
        <w:rPr>
          <w:rFonts w:ascii="楷体" w:eastAsia="楷体" w:hAnsi="楷体" w:cs="宋体" w:hint="eastAsia"/>
          <w:color w:val="000000"/>
          <w:kern w:val="0"/>
          <w:szCs w:val="21"/>
        </w:rPr>
        <w:t>下，时任天通控股股份有限公司（以下简称天通股份）董事长、总裁、实际控制人潘某清，东方花旗证券有限公司董事总经理（截至2016年1月）、海宁东方红投资管理有限公司总经理（2016年1月起）刘某，时任天</w:t>
      </w:r>
      <w:proofErr w:type="gramStart"/>
      <w:r w:rsidRPr="00B34AFC">
        <w:rPr>
          <w:rFonts w:ascii="楷体" w:eastAsia="楷体" w:hAnsi="楷体" w:cs="宋体" w:hint="eastAsia"/>
          <w:color w:val="000000"/>
          <w:kern w:val="0"/>
          <w:szCs w:val="21"/>
        </w:rPr>
        <w:t>通股份</w:t>
      </w:r>
      <w:proofErr w:type="gramEnd"/>
      <w:r w:rsidRPr="00B34AFC">
        <w:rPr>
          <w:rFonts w:ascii="楷体" w:eastAsia="楷体" w:hAnsi="楷体" w:cs="宋体" w:hint="eastAsia"/>
          <w:color w:val="000000"/>
          <w:kern w:val="0"/>
          <w:szCs w:val="21"/>
        </w:rPr>
        <w:t>子公司天通新环境技术有限公司总经理郑某彬等人多次前往成都亚</w:t>
      </w:r>
      <w:proofErr w:type="gramStart"/>
      <w:r w:rsidRPr="00B34AFC">
        <w:rPr>
          <w:rFonts w:ascii="楷体" w:eastAsia="楷体" w:hAnsi="楷体" w:cs="宋体" w:hint="eastAsia"/>
          <w:color w:val="000000"/>
          <w:kern w:val="0"/>
          <w:szCs w:val="21"/>
        </w:rPr>
        <w:t>光考察</w:t>
      </w:r>
      <w:proofErr w:type="gramEnd"/>
      <w:r w:rsidRPr="00B34AFC">
        <w:rPr>
          <w:rFonts w:ascii="楷体" w:eastAsia="楷体" w:hAnsi="楷体" w:cs="宋体" w:hint="eastAsia"/>
          <w:color w:val="000000"/>
          <w:kern w:val="0"/>
          <w:szCs w:val="21"/>
        </w:rPr>
        <w:t>交流，但未亮明天</w:t>
      </w:r>
      <w:proofErr w:type="gramStart"/>
      <w:r w:rsidRPr="00B34AFC">
        <w:rPr>
          <w:rFonts w:ascii="楷体" w:eastAsia="楷体" w:hAnsi="楷体" w:cs="宋体" w:hint="eastAsia"/>
          <w:color w:val="000000"/>
          <w:kern w:val="0"/>
          <w:szCs w:val="21"/>
        </w:rPr>
        <w:t>通股份</w:t>
      </w:r>
      <w:proofErr w:type="gramEnd"/>
      <w:r w:rsidRPr="00B34AFC">
        <w:rPr>
          <w:rFonts w:ascii="楷体" w:eastAsia="楷体" w:hAnsi="楷体" w:cs="宋体" w:hint="eastAsia"/>
          <w:color w:val="000000"/>
          <w:kern w:val="0"/>
          <w:szCs w:val="21"/>
        </w:rPr>
        <w:t>的身份。</w:t>
      </w:r>
    </w:p>
    <w:p w14:paraId="294E2130"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在4月中下旬成都永和顺和成都第三实业公司通过股东会决议组成竞买联合体拟受让欣华欣58.2%股权后，2016年5月3日，羊某文通过电话告诉潘某清可以去成都出面商谈成都亚光重组事宜。</w:t>
      </w:r>
    </w:p>
    <w:p w14:paraId="355BFC97"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2016年5月20日，潘某清、刘某、郑某彬等人前往成都和羊某文商谈具体细节并与成都工业投资集团有限公司副总经理马某兵沟通。</w:t>
      </w:r>
    </w:p>
    <w:p w14:paraId="24F5F1A4"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2016年5月21日，羊某</w:t>
      </w:r>
      <w:proofErr w:type="gramStart"/>
      <w:r w:rsidRPr="00B34AFC">
        <w:rPr>
          <w:rFonts w:ascii="楷体" w:eastAsia="楷体" w:hAnsi="楷体" w:cs="宋体" w:hint="eastAsia"/>
          <w:color w:val="000000"/>
          <w:kern w:val="0"/>
          <w:szCs w:val="21"/>
        </w:rPr>
        <w:t>文安排</w:t>
      </w:r>
      <w:proofErr w:type="gramEnd"/>
      <w:r w:rsidRPr="00B34AFC">
        <w:rPr>
          <w:rFonts w:ascii="楷体" w:eastAsia="楷体" w:hAnsi="楷体" w:cs="宋体" w:hint="eastAsia"/>
          <w:color w:val="000000"/>
          <w:kern w:val="0"/>
          <w:szCs w:val="21"/>
        </w:rPr>
        <w:t>潘某清一行对成都亚光进行参观考察。</w:t>
      </w:r>
    </w:p>
    <w:p w14:paraId="0A43F0AE"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宋体" w:eastAsia="宋体" w:hAnsi="宋体" w:cs="宋体" w:hint="eastAsia"/>
          <w:color w:val="000000"/>
          <w:kern w:val="0"/>
          <w:szCs w:val="21"/>
        </w:rPr>
        <w:t>2016年5月23日，天</w:t>
      </w:r>
      <w:proofErr w:type="gramStart"/>
      <w:r w:rsidRPr="00B34AFC">
        <w:rPr>
          <w:rFonts w:ascii="宋体" w:eastAsia="宋体" w:hAnsi="宋体" w:cs="宋体" w:hint="eastAsia"/>
          <w:color w:val="000000"/>
          <w:kern w:val="0"/>
          <w:szCs w:val="21"/>
        </w:rPr>
        <w:t>通股份</w:t>
      </w:r>
      <w:proofErr w:type="gramEnd"/>
      <w:r w:rsidRPr="00B34AFC">
        <w:rPr>
          <w:rFonts w:ascii="宋体" w:eastAsia="宋体" w:hAnsi="宋体" w:cs="宋体" w:hint="eastAsia"/>
          <w:color w:val="000000"/>
          <w:kern w:val="0"/>
          <w:szCs w:val="21"/>
        </w:rPr>
        <w:t>股票临时停牌一天。</w:t>
      </w:r>
    </w:p>
    <w:p w14:paraId="6B74FD5A"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宋体" w:eastAsia="宋体" w:hAnsi="宋体" w:cs="宋体" w:hint="eastAsia"/>
          <w:color w:val="000000"/>
          <w:kern w:val="0"/>
          <w:szCs w:val="21"/>
        </w:rPr>
        <w:t>2016年5月24日，天</w:t>
      </w:r>
      <w:proofErr w:type="gramStart"/>
      <w:r w:rsidRPr="00B34AFC">
        <w:rPr>
          <w:rFonts w:ascii="宋体" w:eastAsia="宋体" w:hAnsi="宋体" w:cs="宋体" w:hint="eastAsia"/>
          <w:color w:val="000000"/>
          <w:kern w:val="0"/>
          <w:szCs w:val="21"/>
        </w:rPr>
        <w:t>通股份</w:t>
      </w:r>
      <w:proofErr w:type="gramEnd"/>
      <w:r w:rsidRPr="00B34AFC">
        <w:rPr>
          <w:rFonts w:ascii="宋体" w:eastAsia="宋体" w:hAnsi="宋体" w:cs="宋体" w:hint="eastAsia"/>
          <w:color w:val="000000"/>
          <w:kern w:val="0"/>
          <w:szCs w:val="21"/>
        </w:rPr>
        <w:t>发布重大资产重组停牌公告；2016年7月22日，天</w:t>
      </w:r>
      <w:proofErr w:type="gramStart"/>
      <w:r w:rsidRPr="00B34AFC">
        <w:rPr>
          <w:rFonts w:ascii="宋体" w:eastAsia="宋体" w:hAnsi="宋体" w:cs="宋体" w:hint="eastAsia"/>
          <w:color w:val="000000"/>
          <w:kern w:val="0"/>
          <w:szCs w:val="21"/>
        </w:rPr>
        <w:t>通股份</w:t>
      </w:r>
      <w:proofErr w:type="gramEnd"/>
      <w:r w:rsidRPr="00B34AFC">
        <w:rPr>
          <w:rFonts w:ascii="宋体" w:eastAsia="宋体" w:hAnsi="宋体" w:cs="宋体" w:hint="eastAsia"/>
          <w:color w:val="000000"/>
          <w:kern w:val="0"/>
          <w:szCs w:val="21"/>
        </w:rPr>
        <w:t>发布重大资产重组进展公告，称本次重大资产重组潜在交易标的为成都亚光；2016年10月22日，天</w:t>
      </w:r>
      <w:proofErr w:type="gramStart"/>
      <w:r w:rsidRPr="00B34AFC">
        <w:rPr>
          <w:rFonts w:ascii="宋体" w:eastAsia="宋体" w:hAnsi="宋体" w:cs="宋体" w:hint="eastAsia"/>
          <w:color w:val="000000"/>
          <w:kern w:val="0"/>
          <w:szCs w:val="21"/>
        </w:rPr>
        <w:t>通股份</w:t>
      </w:r>
      <w:proofErr w:type="gramEnd"/>
      <w:r w:rsidRPr="00B34AFC">
        <w:rPr>
          <w:rFonts w:ascii="宋体" w:eastAsia="宋体" w:hAnsi="宋体" w:cs="宋体" w:hint="eastAsia"/>
          <w:color w:val="000000"/>
          <w:kern w:val="0"/>
          <w:szCs w:val="21"/>
        </w:rPr>
        <w:t>发布六届二十次董事会决议公告、重大资产购买预案及摘要，拟现金竞买成都亚光75.73%股权；2016年11月3日，天</w:t>
      </w:r>
      <w:proofErr w:type="gramStart"/>
      <w:r w:rsidRPr="00B34AFC">
        <w:rPr>
          <w:rFonts w:ascii="宋体" w:eastAsia="宋体" w:hAnsi="宋体" w:cs="宋体" w:hint="eastAsia"/>
          <w:color w:val="000000"/>
          <w:kern w:val="0"/>
          <w:szCs w:val="21"/>
        </w:rPr>
        <w:t>通股份</w:t>
      </w:r>
      <w:proofErr w:type="gramEnd"/>
      <w:r w:rsidRPr="00B34AFC">
        <w:rPr>
          <w:rFonts w:ascii="宋体" w:eastAsia="宋体" w:hAnsi="宋体" w:cs="宋体" w:hint="eastAsia"/>
          <w:color w:val="000000"/>
          <w:kern w:val="0"/>
          <w:szCs w:val="21"/>
        </w:rPr>
        <w:t>发布关于终止重大资产重组的公告；2016年11月7日，天</w:t>
      </w:r>
      <w:proofErr w:type="gramStart"/>
      <w:r w:rsidRPr="00B34AFC">
        <w:rPr>
          <w:rFonts w:ascii="宋体" w:eastAsia="宋体" w:hAnsi="宋体" w:cs="宋体" w:hint="eastAsia"/>
          <w:color w:val="000000"/>
          <w:kern w:val="0"/>
          <w:szCs w:val="21"/>
        </w:rPr>
        <w:t>通股份</w:t>
      </w:r>
      <w:proofErr w:type="gramEnd"/>
      <w:r w:rsidRPr="00B34AFC">
        <w:rPr>
          <w:rFonts w:ascii="宋体" w:eastAsia="宋体" w:hAnsi="宋体" w:cs="宋体" w:hint="eastAsia"/>
          <w:color w:val="000000"/>
          <w:kern w:val="0"/>
          <w:szCs w:val="21"/>
        </w:rPr>
        <w:t>发布关于股票复牌的提示性公告。</w:t>
      </w:r>
    </w:p>
    <w:p w14:paraId="0228641A"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本次交易拟购买标的公司成都亚光最近</w:t>
      </w:r>
      <w:proofErr w:type="gramStart"/>
      <w:r w:rsidRPr="00B34AFC">
        <w:rPr>
          <w:rFonts w:ascii="楷体" w:eastAsia="楷体" w:hAnsi="楷体" w:cs="宋体" w:hint="eastAsia"/>
          <w:color w:val="000000"/>
          <w:kern w:val="0"/>
          <w:szCs w:val="21"/>
        </w:rPr>
        <w:t>一</w:t>
      </w:r>
      <w:proofErr w:type="gramEnd"/>
      <w:r w:rsidRPr="00B34AFC">
        <w:rPr>
          <w:rFonts w:ascii="楷体" w:eastAsia="楷体" w:hAnsi="楷体" w:cs="宋体" w:hint="eastAsia"/>
          <w:color w:val="000000"/>
          <w:kern w:val="0"/>
          <w:szCs w:val="21"/>
        </w:rPr>
        <w:t>会计年度的营业收入为2,000,425,955.14元，成都亚光75.73%股权所对应的营业收入额度</w:t>
      </w:r>
      <w:proofErr w:type="gramStart"/>
      <w:r w:rsidRPr="00B34AFC">
        <w:rPr>
          <w:rFonts w:ascii="楷体" w:eastAsia="楷体" w:hAnsi="楷体" w:cs="宋体" w:hint="eastAsia"/>
          <w:color w:val="000000"/>
          <w:kern w:val="0"/>
          <w:szCs w:val="21"/>
        </w:rPr>
        <w:t>占天通股份同期经</w:t>
      </w:r>
      <w:proofErr w:type="gramEnd"/>
      <w:r w:rsidRPr="00B34AFC">
        <w:rPr>
          <w:rFonts w:ascii="楷体" w:eastAsia="楷体" w:hAnsi="楷体" w:cs="宋体" w:hint="eastAsia"/>
          <w:color w:val="000000"/>
          <w:kern w:val="0"/>
          <w:szCs w:val="21"/>
        </w:rPr>
        <w:t>审计的合并财务会计报告营业收入的比例超过50%，达到《上市公司重大资产重组管理办法》第十二条关于重大资产重组的标准，天</w:t>
      </w:r>
      <w:proofErr w:type="gramStart"/>
      <w:r w:rsidRPr="00B34AFC">
        <w:rPr>
          <w:rFonts w:ascii="楷体" w:eastAsia="楷体" w:hAnsi="楷体" w:cs="宋体" w:hint="eastAsia"/>
          <w:color w:val="000000"/>
          <w:kern w:val="0"/>
          <w:szCs w:val="21"/>
        </w:rPr>
        <w:t>通股份</w:t>
      </w:r>
      <w:proofErr w:type="gramEnd"/>
      <w:r w:rsidRPr="00B34AFC">
        <w:rPr>
          <w:rFonts w:ascii="楷体" w:eastAsia="楷体" w:hAnsi="楷体" w:cs="宋体" w:hint="eastAsia"/>
          <w:color w:val="000000"/>
          <w:kern w:val="0"/>
          <w:szCs w:val="21"/>
        </w:rPr>
        <w:t>拟现金竞买成都亚光75.73%股权事项构成上市公司重大资产重组，属于2005年《证券法》第六十七条第二款第二项所述“公司的重大投资行为和重大的购置财产的决定”和第七十五条第二款第一项规定的内幕信息，内幕信息形成时点不晚于2016年5月3日，公开于2016年7月22日，刘某、郑某彬是内幕信息知情人，知悉该内幕信息。</w:t>
      </w:r>
    </w:p>
    <w:p w14:paraId="6294FD67"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二、苏思通在内幕信息公开前与刘某、郑某彬联络</w:t>
      </w:r>
    </w:p>
    <w:p w14:paraId="08CA4EF6"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苏思通与刘某因工作等原因认识，后同为海宁东证蓝海并购投资合伙企业（有限合伙）合伙人，并通过刘某认识郑某彬。</w:t>
      </w:r>
    </w:p>
    <w:p w14:paraId="5443E51E"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苏思通与刘某在2016年3月、4月、5</w:t>
      </w:r>
      <w:proofErr w:type="gramStart"/>
      <w:r w:rsidRPr="00B34AFC">
        <w:rPr>
          <w:rFonts w:ascii="楷体" w:eastAsia="楷体" w:hAnsi="楷体" w:cs="宋体" w:hint="eastAsia"/>
          <w:color w:val="000000"/>
          <w:kern w:val="0"/>
          <w:szCs w:val="21"/>
        </w:rPr>
        <w:t>月分</w:t>
      </w:r>
      <w:proofErr w:type="gramEnd"/>
      <w:r w:rsidRPr="00B34AFC">
        <w:rPr>
          <w:rFonts w:ascii="楷体" w:eastAsia="楷体" w:hAnsi="楷体" w:cs="宋体" w:hint="eastAsia"/>
          <w:color w:val="000000"/>
          <w:kern w:val="0"/>
          <w:szCs w:val="21"/>
        </w:rPr>
        <w:t>别通话6次、3次、2次。苏思通与郑某彬在2016年3月、4月、5</w:t>
      </w:r>
      <w:proofErr w:type="gramStart"/>
      <w:r w:rsidRPr="00B34AFC">
        <w:rPr>
          <w:rFonts w:ascii="楷体" w:eastAsia="楷体" w:hAnsi="楷体" w:cs="宋体" w:hint="eastAsia"/>
          <w:color w:val="000000"/>
          <w:kern w:val="0"/>
          <w:szCs w:val="21"/>
        </w:rPr>
        <w:t>月分</w:t>
      </w:r>
      <w:proofErr w:type="gramEnd"/>
      <w:r w:rsidRPr="00B34AFC">
        <w:rPr>
          <w:rFonts w:ascii="楷体" w:eastAsia="楷体" w:hAnsi="楷体" w:cs="宋体" w:hint="eastAsia"/>
          <w:color w:val="000000"/>
          <w:kern w:val="0"/>
          <w:szCs w:val="21"/>
        </w:rPr>
        <w:t>别通话1次（为短信）、7次、2次。</w:t>
      </w:r>
    </w:p>
    <w:p w14:paraId="4BB9A11D"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内幕信息形成后，苏思通与郑某彬、刘某存在通话联络，通话记录包括：2016年5月10日13点51分，郑某彬主叫苏思通，通话时长1分；2016年5月14日18点39分，刘某主叫苏思通，通话时长43秒；2016年5月17日18点20分，郑某彬主叫苏思通，通话时长1分17秒。</w:t>
      </w:r>
    </w:p>
    <w:p w14:paraId="2B66C0FC"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lastRenderedPageBreak/>
        <w:t>三、蓝海韬略控制使用“蓝海七号”账户在内幕信息公开前交易“天通股份”</w:t>
      </w:r>
    </w:p>
    <w:p w14:paraId="20064928"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（一）“蓝海七号”账户基本情况</w:t>
      </w:r>
    </w:p>
    <w:p w14:paraId="2C31538E"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蓝海七号”系在中国证券投资基金业协会备案的私募基金产品，蓝海韬略系在该协会登记的私募证券投资基金管理人，为“蓝海七号”基金管理人。“蓝海七号”私募基金于2016年5月9日在中泰证券股份有限公司北京百万庄大街证券营业部开立“蓝海七号”账户，下挂1个上海股东账户（股东卡号B880×××923）和1个深圳股东账户（股东卡号089×××064）。该户由蓝海韬略控制使用。“蓝海七号”账户的交易决策人为基金经理苏思通，交易员为吴某。</w:t>
      </w:r>
    </w:p>
    <w:p w14:paraId="7B5F481F"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（二）“蓝海七号”账户交易“天通股份”的情况</w:t>
      </w:r>
    </w:p>
    <w:p w14:paraId="115ECFCA"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蓝海七号”账户2016年5月18日买入“天通股份”2,687,307股，成交金额32,497,616.21元，占账户资金规模的51.58%，并于股票复牌后的第三天即2016年11月9日全部卖出。扣除交易税费，“蓝海七号”账户最终获利5,238,422.69元。</w:t>
      </w:r>
    </w:p>
    <w:p w14:paraId="7D563C0A"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（三）交易行为明显异常</w:t>
      </w:r>
    </w:p>
    <w:p w14:paraId="704A4CA8"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在内幕信息公开前，苏思通和刘某、郑某彬存在</w:t>
      </w:r>
      <w:proofErr w:type="gramStart"/>
      <w:r w:rsidRPr="00B34AFC">
        <w:rPr>
          <w:rFonts w:ascii="楷体" w:eastAsia="楷体" w:hAnsi="楷体" w:cs="宋体" w:hint="eastAsia"/>
          <w:color w:val="000000"/>
          <w:kern w:val="0"/>
          <w:szCs w:val="21"/>
        </w:rPr>
        <w:t>通讯联络</w:t>
      </w:r>
      <w:proofErr w:type="gramEnd"/>
      <w:r w:rsidRPr="00B34AFC">
        <w:rPr>
          <w:rFonts w:ascii="楷体" w:eastAsia="楷体" w:hAnsi="楷体" w:cs="宋体" w:hint="eastAsia"/>
          <w:color w:val="000000"/>
          <w:kern w:val="0"/>
          <w:szCs w:val="21"/>
        </w:rPr>
        <w:t>，联络时点正是天</w:t>
      </w:r>
      <w:proofErr w:type="gramStart"/>
      <w:r w:rsidRPr="00B34AFC">
        <w:rPr>
          <w:rFonts w:ascii="楷体" w:eastAsia="楷体" w:hAnsi="楷体" w:cs="宋体" w:hint="eastAsia"/>
          <w:color w:val="000000"/>
          <w:kern w:val="0"/>
          <w:szCs w:val="21"/>
        </w:rPr>
        <w:t>通股份</w:t>
      </w:r>
      <w:proofErr w:type="gramEnd"/>
      <w:r w:rsidRPr="00B34AFC">
        <w:rPr>
          <w:rFonts w:ascii="楷体" w:eastAsia="楷体" w:hAnsi="楷体" w:cs="宋体" w:hint="eastAsia"/>
          <w:color w:val="000000"/>
          <w:kern w:val="0"/>
          <w:szCs w:val="21"/>
        </w:rPr>
        <w:t>实际控制人潘某清等人准备前往成都正式商讨重组事宜之时，其后其管理的“蓝海七号”账户集中、大量买入“天通股份”，并在“天通股份”复牌后的第三天全部卖出，交易活动与内幕信息形成、变化和公开过程高度吻合，且无法</w:t>
      </w:r>
      <w:proofErr w:type="gramStart"/>
      <w:r w:rsidRPr="00B34AFC">
        <w:rPr>
          <w:rFonts w:ascii="楷体" w:eastAsia="楷体" w:hAnsi="楷体" w:cs="宋体" w:hint="eastAsia"/>
          <w:color w:val="000000"/>
          <w:kern w:val="0"/>
          <w:szCs w:val="21"/>
        </w:rPr>
        <w:t>作出</w:t>
      </w:r>
      <w:proofErr w:type="gramEnd"/>
      <w:r w:rsidRPr="00B34AFC">
        <w:rPr>
          <w:rFonts w:ascii="楷体" w:eastAsia="楷体" w:hAnsi="楷体" w:cs="宋体" w:hint="eastAsia"/>
          <w:color w:val="000000"/>
          <w:kern w:val="0"/>
          <w:szCs w:val="21"/>
        </w:rPr>
        <w:t>合理说明或提供证据排除利用内幕信息从事相关交易活动。</w:t>
      </w:r>
    </w:p>
    <w:p w14:paraId="6D6BC124"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宋体" w:eastAsia="宋体" w:hAnsi="宋体" w:cs="宋体" w:hint="eastAsia"/>
          <w:color w:val="000000"/>
          <w:kern w:val="0"/>
          <w:szCs w:val="21"/>
        </w:rPr>
        <w:t>上述违法事实，有上市公司公告、谈话笔录、通讯记录、证券账户开户资料、基金合同、证券账户交易明细等证据证明，足以认定。</w:t>
      </w:r>
    </w:p>
    <w:p w14:paraId="59DD6282"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宋体" w:eastAsia="宋体" w:hAnsi="宋体" w:cs="宋体" w:hint="eastAsia"/>
          <w:color w:val="000000"/>
          <w:kern w:val="0"/>
          <w:szCs w:val="21"/>
        </w:rPr>
        <w:t>我会认为，蓝海韬略的上述行为违反了2005年《证券法》第七十三条、第七十六条第一款的规定，构成2005年《证券法》第二百零二条所述的内幕交易行为。</w:t>
      </w:r>
    </w:p>
    <w:p w14:paraId="1D190CBD"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宋体" w:eastAsia="宋体" w:hAnsi="宋体" w:cs="宋体" w:hint="eastAsia"/>
          <w:color w:val="000000"/>
          <w:kern w:val="0"/>
          <w:szCs w:val="21"/>
        </w:rPr>
        <w:t>对蓝海韬略的内幕交易行为，苏思通是直接负责的主管人员。</w:t>
      </w:r>
    </w:p>
    <w:p w14:paraId="650A7DA2"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在听证过程中，蓝海韬略及苏思通提出如下申辩意见：</w:t>
      </w:r>
    </w:p>
    <w:p w14:paraId="5E829AEC"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第一，内幕信息形成时点应不晚于2016年5月20日，而非2016年5月3日。内幕信息形成时点的认定要把握影响内幕信息形成的人员和内幕信息动议、策划、决策或者执行的初始时间。本案中，羊某</w:t>
      </w:r>
      <w:proofErr w:type="gramStart"/>
      <w:r w:rsidRPr="00B34AFC">
        <w:rPr>
          <w:rFonts w:ascii="楷体" w:eastAsia="楷体" w:hAnsi="楷体" w:cs="宋体" w:hint="eastAsia"/>
          <w:color w:val="000000"/>
          <w:kern w:val="0"/>
          <w:szCs w:val="21"/>
        </w:rPr>
        <w:t>文仅仅</w:t>
      </w:r>
      <w:proofErr w:type="gramEnd"/>
      <w:r w:rsidRPr="00B34AFC">
        <w:rPr>
          <w:rFonts w:ascii="楷体" w:eastAsia="楷体" w:hAnsi="楷体" w:cs="宋体" w:hint="eastAsia"/>
          <w:color w:val="000000"/>
          <w:kern w:val="0"/>
          <w:szCs w:val="21"/>
        </w:rPr>
        <w:t>是“传话者”，对本案收购事项无法起到实质影响，且5月3日羊某文电话告诉潘某清可以去成都出面商谈重组事宜，也仅表达可以前往成都商谈，此时并不知商谈有何进展、能否达成一致意见，无法达到本案内幕信息形成的效果。而潘某清作为影响内幕信息形成的动议、策划和决策人员，是在5月20日在成都商谈时才</w:t>
      </w:r>
      <w:proofErr w:type="gramStart"/>
      <w:r w:rsidRPr="00B34AFC">
        <w:rPr>
          <w:rFonts w:ascii="楷体" w:eastAsia="楷体" w:hAnsi="楷体" w:cs="宋体" w:hint="eastAsia"/>
          <w:color w:val="000000"/>
          <w:kern w:val="0"/>
          <w:szCs w:val="21"/>
        </w:rPr>
        <w:t>作出</w:t>
      </w:r>
      <w:proofErr w:type="gramEnd"/>
      <w:r w:rsidRPr="00B34AFC">
        <w:rPr>
          <w:rFonts w:ascii="楷体" w:eastAsia="楷体" w:hAnsi="楷体" w:cs="宋体" w:hint="eastAsia"/>
          <w:color w:val="000000"/>
          <w:kern w:val="0"/>
          <w:szCs w:val="21"/>
        </w:rPr>
        <w:t>的决定，此时收购事项才具有初步确定性，本案内幕信息才开始形成。</w:t>
      </w:r>
    </w:p>
    <w:p w14:paraId="537E3F3A"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宋体" w:eastAsia="宋体" w:hAnsi="宋体" w:cs="宋体" w:hint="eastAsia"/>
          <w:color w:val="000000"/>
          <w:kern w:val="0"/>
          <w:szCs w:val="21"/>
        </w:rPr>
        <w:t>第二，在案证据无法证明刘某在2016年5月14日与苏思通通话联络前以及郑某彬在5月17日与苏思通通话联络前知悉内幕信息。</w:t>
      </w:r>
    </w:p>
    <w:p w14:paraId="2D4C78B3" w14:textId="77777777" w:rsidR="00B34AFC" w:rsidRPr="00B34AFC" w:rsidRDefault="00B34AFC" w:rsidP="00B34AFC">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lastRenderedPageBreak/>
        <w:t>第三，“蓝海七号”账户买卖“天通股份”行为不存在明显异常，符合其以往交易风格和交易习惯，交易行为是基于技术分析和实战经验，具有合理解释，且苏思通与郑某彬、刘某的联络接触系正常工作联系。本案认定未达到明显优势证明标准。</w:t>
      </w:r>
    </w:p>
    <w:p w14:paraId="69BF42B1" w14:textId="77777777" w:rsidR="00B34AFC" w:rsidRPr="00B34AFC" w:rsidRDefault="00B34AFC" w:rsidP="00B34AFC">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综上，蓝海韬略和苏思通请求不予行政处罚。</w:t>
      </w:r>
    </w:p>
    <w:p w14:paraId="696E6E12" w14:textId="77777777" w:rsidR="00B34AFC" w:rsidRPr="00B34AFC" w:rsidRDefault="00B34AFC" w:rsidP="00B34AFC">
      <w:pPr>
        <w:widowControl/>
        <w:shd w:val="clear" w:color="auto" w:fill="FFFFFF"/>
        <w:wordWrap w:val="0"/>
        <w:spacing w:line="408" w:lineRule="atLeast"/>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 xml:space="preserve">　　经复核，我会认为：第一，我会关于内幕信息形成时点的认定并无不当。潘某清在询问笔录中表示其考虑具备重组条件后还需要对成都亚光总经理团队有所了解，并对车间现场实地考察。2016年5月前，潘某清多次亲自或派人前往成都亚光，了解成都亚光总经理团队并进行实地考察，天</w:t>
      </w:r>
      <w:proofErr w:type="gramStart"/>
      <w:r w:rsidRPr="00B34AFC">
        <w:rPr>
          <w:rFonts w:ascii="楷体" w:eastAsia="楷体" w:hAnsi="楷体" w:cs="宋体" w:hint="eastAsia"/>
          <w:color w:val="000000"/>
          <w:kern w:val="0"/>
          <w:szCs w:val="21"/>
        </w:rPr>
        <w:t>通股份</w:t>
      </w:r>
      <w:proofErr w:type="gramEnd"/>
      <w:r w:rsidRPr="00B34AFC">
        <w:rPr>
          <w:rFonts w:ascii="楷体" w:eastAsia="楷体" w:hAnsi="楷体" w:cs="宋体" w:hint="eastAsia"/>
          <w:color w:val="000000"/>
          <w:kern w:val="0"/>
          <w:szCs w:val="21"/>
        </w:rPr>
        <w:t>拟收购成都亚光股权事项已处于前期准备阶段。从本次重大资产重组的推进情况来看，成都亚光完成增资并实现</w:t>
      </w:r>
      <w:proofErr w:type="gramStart"/>
      <w:r w:rsidRPr="00B34AFC">
        <w:rPr>
          <w:rFonts w:ascii="楷体" w:eastAsia="楷体" w:hAnsi="楷体" w:cs="宋体" w:hint="eastAsia"/>
          <w:color w:val="000000"/>
          <w:kern w:val="0"/>
          <w:szCs w:val="21"/>
        </w:rPr>
        <w:t>欣华欣的</w:t>
      </w:r>
      <w:proofErr w:type="gramEnd"/>
      <w:r w:rsidRPr="00B34AFC">
        <w:rPr>
          <w:rFonts w:ascii="楷体" w:eastAsia="楷体" w:hAnsi="楷体" w:cs="宋体" w:hint="eastAsia"/>
          <w:color w:val="000000"/>
          <w:kern w:val="0"/>
          <w:szCs w:val="21"/>
        </w:rPr>
        <w:t>剥离是开展重大资产重组的重要条件，这一事项在2016年4月中下旬取得重大进展，重组条件趋于成熟。2016年5月3日，羊某文告知潘某清可以前往成都面谈重组事宜，结合相关人员前后开展的相关工作，将该时点认定为内幕信息事项的动议、筹划初始时间也即内幕信息的形成时点，并无不当。</w:t>
      </w:r>
    </w:p>
    <w:p w14:paraId="4C818659"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第二，本案询问笔录和通话记录等证据证明，羊某文于2016年5月9日联络刘某，告知</w:t>
      </w:r>
      <w:proofErr w:type="gramStart"/>
      <w:r w:rsidRPr="00B34AFC">
        <w:rPr>
          <w:rFonts w:ascii="楷体" w:eastAsia="楷体" w:hAnsi="楷体" w:cs="宋体" w:hint="eastAsia"/>
          <w:color w:val="000000"/>
          <w:kern w:val="0"/>
          <w:szCs w:val="21"/>
        </w:rPr>
        <w:t>其欣华欣</w:t>
      </w:r>
      <w:proofErr w:type="gramEnd"/>
      <w:r w:rsidRPr="00B34AFC">
        <w:rPr>
          <w:rFonts w:ascii="楷体" w:eastAsia="楷体" w:hAnsi="楷体" w:cs="宋体" w:hint="eastAsia"/>
          <w:color w:val="000000"/>
          <w:kern w:val="0"/>
          <w:szCs w:val="21"/>
        </w:rPr>
        <w:t>剥离的重要进展，结合刘某在本次重大资产重组事项中的参与程度，其不晚于5月9日已足以知悉涉案资产重组事项条件趋于成熟并进入动议、筹划阶段，也即对内幕信息知情。本案虽无直接证据表明郑某彬在5月17日与苏思通</w:t>
      </w:r>
      <w:proofErr w:type="gramStart"/>
      <w:r w:rsidRPr="00B34AFC">
        <w:rPr>
          <w:rFonts w:ascii="楷体" w:eastAsia="楷体" w:hAnsi="楷体" w:cs="宋体" w:hint="eastAsia"/>
          <w:color w:val="000000"/>
          <w:kern w:val="0"/>
          <w:szCs w:val="21"/>
        </w:rPr>
        <w:t>通讯联络</w:t>
      </w:r>
      <w:proofErr w:type="gramEnd"/>
      <w:r w:rsidRPr="00B34AFC">
        <w:rPr>
          <w:rFonts w:ascii="楷体" w:eastAsia="楷体" w:hAnsi="楷体" w:cs="宋体" w:hint="eastAsia"/>
          <w:color w:val="000000"/>
          <w:kern w:val="0"/>
          <w:szCs w:val="21"/>
        </w:rPr>
        <w:t>前已对内幕信息知情，但综合考虑其在上市公司所任职务及在本次资产重组事项中的参与程度，其在该时点应当已知悉内幕信息。且无论郑某彬5月17日与苏思通</w:t>
      </w:r>
      <w:proofErr w:type="gramStart"/>
      <w:r w:rsidRPr="00B34AFC">
        <w:rPr>
          <w:rFonts w:ascii="楷体" w:eastAsia="楷体" w:hAnsi="楷体" w:cs="宋体" w:hint="eastAsia"/>
          <w:color w:val="000000"/>
          <w:kern w:val="0"/>
          <w:szCs w:val="21"/>
        </w:rPr>
        <w:t>通讯联络</w:t>
      </w:r>
      <w:proofErr w:type="gramEnd"/>
      <w:r w:rsidRPr="00B34AFC">
        <w:rPr>
          <w:rFonts w:ascii="楷体" w:eastAsia="楷体" w:hAnsi="楷体" w:cs="宋体" w:hint="eastAsia"/>
          <w:color w:val="000000"/>
          <w:kern w:val="0"/>
          <w:szCs w:val="21"/>
        </w:rPr>
        <w:t>前是否已确定知悉内幕信息，基于刘某在与苏思通</w:t>
      </w:r>
      <w:proofErr w:type="gramStart"/>
      <w:r w:rsidRPr="00B34AFC">
        <w:rPr>
          <w:rFonts w:ascii="楷体" w:eastAsia="楷体" w:hAnsi="楷体" w:cs="宋体" w:hint="eastAsia"/>
          <w:color w:val="000000"/>
          <w:kern w:val="0"/>
          <w:szCs w:val="21"/>
        </w:rPr>
        <w:t>通讯联络</w:t>
      </w:r>
      <w:proofErr w:type="gramEnd"/>
      <w:r w:rsidRPr="00B34AFC">
        <w:rPr>
          <w:rFonts w:ascii="楷体" w:eastAsia="楷体" w:hAnsi="楷体" w:cs="宋体" w:hint="eastAsia"/>
          <w:color w:val="000000"/>
          <w:kern w:val="0"/>
          <w:szCs w:val="21"/>
        </w:rPr>
        <w:t>时已确定知悉内幕信息这一事实，已足以成就苏思通在内幕信息公开前与内幕信息知情人联络这一基础事实。</w:t>
      </w:r>
    </w:p>
    <w:p w14:paraId="200BEE0F"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第三，当事人所辩称的交易行为符合其以往交易风格和交易习惯以及基于技术分析和实战经验等理由、相关联络接触系正常工作联系等辩辞，均不足以合理解释苏思通与内幕信息知情人联络时点与内幕信息形成时点的高度吻合性、联络后不久“蓝海七号”账户即动用半</w:t>
      </w:r>
      <w:proofErr w:type="gramStart"/>
      <w:r w:rsidRPr="00B34AFC">
        <w:rPr>
          <w:rFonts w:ascii="楷体" w:eastAsia="楷体" w:hAnsi="楷体" w:cs="宋体" w:hint="eastAsia"/>
          <w:color w:val="000000"/>
          <w:kern w:val="0"/>
          <w:szCs w:val="21"/>
        </w:rPr>
        <w:t>仓以上</w:t>
      </w:r>
      <w:proofErr w:type="gramEnd"/>
      <w:r w:rsidRPr="00B34AFC">
        <w:rPr>
          <w:rFonts w:ascii="楷体" w:eastAsia="楷体" w:hAnsi="楷体" w:cs="宋体" w:hint="eastAsia"/>
          <w:color w:val="000000"/>
          <w:kern w:val="0"/>
          <w:szCs w:val="21"/>
        </w:rPr>
        <w:t>规模资金买入“天通股份”的明显异常性，不足以解释证券交易活动与内幕信息的高度吻合。</w:t>
      </w:r>
    </w:p>
    <w:p w14:paraId="04B8743E"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综上，我会对蓝海韬略和苏思通的意见不予采纳。</w:t>
      </w:r>
    </w:p>
    <w:p w14:paraId="33502A3E"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宋体" w:eastAsia="宋体" w:hAnsi="宋体" w:cs="宋体" w:hint="eastAsia"/>
          <w:color w:val="000000"/>
          <w:kern w:val="0"/>
          <w:szCs w:val="21"/>
        </w:rPr>
        <w:t>根据当事人违法行为的事实、性质、情节与社会危害程度，依据2005年《证券法》第二百零二条的规定，我会决定：</w:t>
      </w:r>
    </w:p>
    <w:p w14:paraId="25715D73"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宋体" w:eastAsia="宋体" w:hAnsi="宋体" w:cs="宋体" w:hint="eastAsia"/>
          <w:color w:val="000000"/>
          <w:kern w:val="0"/>
          <w:szCs w:val="21"/>
        </w:rPr>
        <w:t>一、没收北京蓝海韬略资本运营中心（有限合伙）内幕交易违法所得5,238,422.69元，并处以15,715,268.07元罚款；</w:t>
      </w:r>
    </w:p>
    <w:p w14:paraId="091ABEDA"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宋体" w:eastAsia="宋体" w:hAnsi="宋体" w:cs="宋体" w:hint="eastAsia"/>
          <w:color w:val="000000"/>
          <w:kern w:val="0"/>
          <w:szCs w:val="21"/>
        </w:rPr>
        <w:t>二、对苏思通给予警告，并处以30万元罚款。</w:t>
      </w:r>
    </w:p>
    <w:p w14:paraId="62185BE7"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宋体" w:eastAsia="宋体" w:hAnsi="宋体" w:cs="宋体" w:hint="eastAsia"/>
          <w:color w:val="000000"/>
          <w:kern w:val="0"/>
          <w:szCs w:val="21"/>
        </w:rPr>
        <w:t>上述当事人应自收到本处罚决定书之日起15日内，将罚没款汇交中国证券监督管理委员会开户银行：中信银行北京分行营业部，账号：7111010189800000162，由该行直接上</w:t>
      </w:r>
      <w:r w:rsidRPr="00B34AFC">
        <w:rPr>
          <w:rFonts w:ascii="宋体" w:eastAsia="宋体" w:hAnsi="宋体" w:cs="宋体" w:hint="eastAsia"/>
          <w:color w:val="000000"/>
          <w:kern w:val="0"/>
          <w:szCs w:val="21"/>
        </w:rPr>
        <w:lastRenderedPageBreak/>
        <w:t>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5B8A9B49" w14:textId="77777777" w:rsidR="00B34AFC" w:rsidRPr="00B34AFC" w:rsidRDefault="00B34AFC" w:rsidP="00B34AFC">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B34AFC">
        <w:rPr>
          <w:rFonts w:ascii="宋体" w:eastAsia="宋体" w:hAnsi="宋体" w:cs="宋体" w:hint="eastAsia"/>
          <w:color w:val="000000"/>
          <w:kern w:val="0"/>
          <w:szCs w:val="21"/>
        </w:rPr>
        <w:t> </w:t>
      </w:r>
      <w:r w:rsidRPr="00B34AFC">
        <w:rPr>
          <w:rFonts w:ascii="楷体" w:eastAsia="楷体" w:hAnsi="楷体" w:cs="宋体" w:hint="eastAsia"/>
          <w:color w:val="000000"/>
          <w:kern w:val="0"/>
          <w:szCs w:val="21"/>
        </w:rPr>
        <w:t xml:space="preserve">　　　　　　　　　　　　　　　　　　　　　　　　　　　　　　</w:t>
      </w:r>
      <w:r w:rsidRPr="00B34AFC">
        <w:rPr>
          <w:rFonts w:ascii="Calibri" w:eastAsia="楷体" w:hAnsi="Calibri" w:cs="Calibri"/>
          <w:color w:val="000000"/>
          <w:kern w:val="0"/>
          <w:szCs w:val="21"/>
        </w:rPr>
        <w:t> </w:t>
      </w:r>
      <w:r w:rsidRPr="00B34AFC">
        <w:rPr>
          <w:rFonts w:ascii="楷体" w:eastAsia="楷体" w:hAnsi="楷体" w:cs="宋体" w:hint="eastAsia"/>
          <w:color w:val="000000"/>
          <w:kern w:val="0"/>
          <w:szCs w:val="21"/>
        </w:rPr>
        <w:t>中国证监会</w:t>
      </w:r>
    </w:p>
    <w:p w14:paraId="6F742EB6" w14:textId="77777777" w:rsidR="00B34AFC" w:rsidRPr="00B34AFC" w:rsidRDefault="00B34AFC" w:rsidP="00B34AFC">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B34AFC">
        <w:rPr>
          <w:rFonts w:ascii="楷体" w:eastAsia="楷体" w:hAnsi="楷体" w:cs="宋体" w:hint="eastAsia"/>
          <w:color w:val="000000"/>
          <w:kern w:val="0"/>
          <w:szCs w:val="21"/>
        </w:rPr>
        <w:t xml:space="preserve">　　　　　　　　　　　　　　　　　2020年11月26日</w:t>
      </w:r>
    </w:p>
    <w:p w14:paraId="5730EB3C"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6755B" w14:textId="77777777" w:rsidR="009B55F3" w:rsidRDefault="009B55F3" w:rsidP="00CD0DB2">
      <w:pPr>
        <w:rPr>
          <w:rFonts w:hint="eastAsia"/>
        </w:rPr>
      </w:pPr>
      <w:r>
        <w:separator/>
      </w:r>
    </w:p>
  </w:endnote>
  <w:endnote w:type="continuationSeparator" w:id="0">
    <w:p w14:paraId="40D93861" w14:textId="77777777" w:rsidR="009B55F3" w:rsidRDefault="009B55F3" w:rsidP="00CD0DB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4D7B7" w14:textId="77777777" w:rsidR="009B55F3" w:rsidRDefault="009B55F3" w:rsidP="00CD0DB2">
      <w:pPr>
        <w:rPr>
          <w:rFonts w:hint="eastAsia"/>
        </w:rPr>
      </w:pPr>
      <w:r>
        <w:separator/>
      </w:r>
    </w:p>
  </w:footnote>
  <w:footnote w:type="continuationSeparator" w:id="0">
    <w:p w14:paraId="2C74E97A" w14:textId="77777777" w:rsidR="009B55F3" w:rsidRDefault="009B55F3" w:rsidP="00CD0DB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FC"/>
    <w:rsid w:val="009B55F3"/>
    <w:rsid w:val="00B34AFC"/>
    <w:rsid w:val="00BE43C3"/>
    <w:rsid w:val="00CD0DB2"/>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2763F0"/>
  <w15:chartTrackingRefBased/>
  <w15:docId w15:val="{2C2C0C24-1647-425D-B539-69C19214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34AF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34AFC"/>
    <w:rPr>
      <w:b/>
      <w:bCs/>
    </w:rPr>
  </w:style>
  <w:style w:type="paragraph" w:styleId="a5">
    <w:name w:val="header"/>
    <w:basedOn w:val="a"/>
    <w:link w:val="a6"/>
    <w:uiPriority w:val="99"/>
    <w:unhideWhenUsed/>
    <w:rsid w:val="00CD0DB2"/>
    <w:pPr>
      <w:tabs>
        <w:tab w:val="center" w:pos="4153"/>
        <w:tab w:val="right" w:pos="8306"/>
      </w:tabs>
      <w:snapToGrid w:val="0"/>
      <w:jc w:val="center"/>
    </w:pPr>
    <w:rPr>
      <w:sz w:val="18"/>
      <w:szCs w:val="18"/>
    </w:rPr>
  </w:style>
  <w:style w:type="character" w:customStyle="1" w:styleId="a6">
    <w:name w:val="页眉 字符"/>
    <w:basedOn w:val="a0"/>
    <w:link w:val="a5"/>
    <w:uiPriority w:val="99"/>
    <w:rsid w:val="00CD0DB2"/>
    <w:rPr>
      <w:sz w:val="18"/>
      <w:szCs w:val="18"/>
    </w:rPr>
  </w:style>
  <w:style w:type="paragraph" w:styleId="a7">
    <w:name w:val="footer"/>
    <w:basedOn w:val="a"/>
    <w:link w:val="a8"/>
    <w:uiPriority w:val="99"/>
    <w:unhideWhenUsed/>
    <w:rsid w:val="00CD0DB2"/>
    <w:pPr>
      <w:tabs>
        <w:tab w:val="center" w:pos="4153"/>
        <w:tab w:val="right" w:pos="8306"/>
      </w:tabs>
      <w:snapToGrid w:val="0"/>
      <w:jc w:val="left"/>
    </w:pPr>
    <w:rPr>
      <w:sz w:val="18"/>
      <w:szCs w:val="18"/>
    </w:rPr>
  </w:style>
  <w:style w:type="character" w:customStyle="1" w:styleId="a8">
    <w:name w:val="页脚 字符"/>
    <w:basedOn w:val="a0"/>
    <w:link w:val="a7"/>
    <w:uiPriority w:val="99"/>
    <w:rsid w:val="00CD0D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391803">
      <w:bodyDiv w:val="1"/>
      <w:marLeft w:val="0"/>
      <w:marRight w:val="0"/>
      <w:marTop w:val="0"/>
      <w:marBottom w:val="0"/>
      <w:divBdr>
        <w:top w:val="none" w:sz="0" w:space="0" w:color="auto"/>
        <w:left w:val="none" w:sz="0" w:space="0" w:color="auto"/>
        <w:bottom w:val="none" w:sz="0" w:space="0" w:color="auto"/>
        <w:right w:val="none" w:sz="0" w:space="0" w:color="auto"/>
      </w:divBdr>
      <w:divsChild>
        <w:div w:id="1887599911">
          <w:marLeft w:val="0"/>
          <w:marRight w:val="0"/>
          <w:marTop w:val="150"/>
          <w:marBottom w:val="150"/>
          <w:divBdr>
            <w:top w:val="none" w:sz="0" w:space="0" w:color="auto"/>
            <w:left w:val="none" w:sz="0" w:space="0" w:color="auto"/>
            <w:bottom w:val="none" w:sz="0" w:space="0" w:color="auto"/>
            <w:right w:val="none" w:sz="0" w:space="0" w:color="auto"/>
          </w:divBdr>
        </w:div>
        <w:div w:id="948272839">
          <w:marLeft w:val="0"/>
          <w:marRight w:val="0"/>
          <w:marTop w:val="0"/>
          <w:marBottom w:val="0"/>
          <w:divBdr>
            <w:top w:val="single" w:sz="6" w:space="8" w:color="B5B5B5"/>
            <w:left w:val="single" w:sz="6" w:space="0" w:color="B5B5B5"/>
            <w:bottom w:val="single" w:sz="6" w:space="8" w:color="B5B5B5"/>
            <w:right w:val="single" w:sz="6" w:space="0" w:color="B5B5B5"/>
          </w:divBdr>
          <w:divsChild>
            <w:div w:id="1713456788">
              <w:marLeft w:val="0"/>
              <w:marRight w:val="0"/>
              <w:marTop w:val="0"/>
              <w:marBottom w:val="0"/>
              <w:divBdr>
                <w:top w:val="none" w:sz="0" w:space="0" w:color="auto"/>
                <w:left w:val="none" w:sz="0" w:space="0" w:color="auto"/>
                <w:bottom w:val="none" w:sz="0" w:space="0" w:color="auto"/>
                <w:right w:val="none" w:sz="0" w:space="0" w:color="auto"/>
              </w:divBdr>
            </w:div>
            <w:div w:id="9544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2021-12-08T09:11:00Z</dcterms:created>
  <dcterms:modified xsi:type="dcterms:W3CDTF">2024-12-15T13:19:00Z</dcterms:modified>
</cp:coreProperties>
</file>