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B587F" w:rsidRPr="00FB587F" w14:paraId="2BAA72D6" w14:textId="77777777" w:rsidTr="00FB587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7F" w:rsidRPr="00FB587F" w14:paraId="1886D9FB" w14:textId="77777777">
              <w:trPr>
                <w:tblCellSpacing w:w="0" w:type="dxa"/>
              </w:trPr>
              <w:tc>
                <w:tcPr>
                  <w:tcW w:w="2500" w:type="pct"/>
                  <w:tcMar>
                    <w:top w:w="30" w:type="dxa"/>
                    <w:left w:w="30" w:type="dxa"/>
                    <w:bottom w:w="30" w:type="dxa"/>
                    <w:right w:w="30" w:type="dxa"/>
                  </w:tcMar>
                  <w:hideMark/>
                </w:tcPr>
                <w:p w14:paraId="15FDE06D" w14:textId="4D08E8E8"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索 引 号:</w:t>
                  </w:r>
                  <w:r w:rsidR="00423C40" w:rsidRPr="00FB587F">
                    <w:rPr>
                      <w:rFonts w:ascii="宋体" w:eastAsia="宋体" w:hAnsi="宋体" w:cs="宋体"/>
                      <w:color w:val="686868"/>
                      <w:kern w:val="0"/>
                      <w:sz w:val="18"/>
                      <w:szCs w:val="18"/>
                    </w:rPr>
                    <w:t xml:space="preserve"> </w:t>
                  </w:r>
                  <w:r w:rsidR="00423C40" w:rsidRPr="00423C40">
                    <w:rPr>
                      <w:rFonts w:ascii="宋体" w:eastAsia="宋体" w:hAnsi="宋体" w:cs="宋体" w:hint="eastAsia"/>
                      <w:color w:val="686868"/>
                      <w:kern w:val="0"/>
                      <w:sz w:val="18"/>
                      <w:szCs w:val="18"/>
                    </w:rPr>
                    <w:t>bm56000001/2020-00041127</w:t>
                  </w:r>
                </w:p>
              </w:tc>
              <w:tc>
                <w:tcPr>
                  <w:tcW w:w="0" w:type="auto"/>
                  <w:tcMar>
                    <w:top w:w="30" w:type="dxa"/>
                    <w:left w:w="30" w:type="dxa"/>
                    <w:bottom w:w="30" w:type="dxa"/>
                    <w:right w:w="30" w:type="dxa"/>
                  </w:tcMar>
                  <w:hideMark/>
                </w:tcPr>
                <w:p w14:paraId="47977596"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分类:</w:t>
                  </w:r>
                  <w:r w:rsidRPr="00FB587F">
                    <w:rPr>
                      <w:rFonts w:ascii="宋体" w:eastAsia="宋体" w:hAnsi="宋体" w:cs="宋体"/>
                      <w:color w:val="686868"/>
                      <w:kern w:val="0"/>
                      <w:sz w:val="18"/>
                      <w:szCs w:val="18"/>
                    </w:rPr>
                    <w:t> 行政处罚 ; 行政处罚决定</w:t>
                  </w:r>
                </w:p>
              </w:tc>
            </w:tr>
          </w:tbl>
          <w:p w14:paraId="08652789" w14:textId="77777777" w:rsidR="00FB587F" w:rsidRPr="00FB587F" w:rsidRDefault="00FB587F" w:rsidP="00FB587F">
            <w:pPr>
              <w:widowControl/>
              <w:jc w:val="left"/>
              <w:rPr>
                <w:rFonts w:ascii="宋体" w:eastAsia="宋体" w:hAnsi="宋体" w:cs="宋体" w:hint="eastAsia"/>
                <w:color w:val="686868"/>
                <w:kern w:val="0"/>
                <w:sz w:val="18"/>
                <w:szCs w:val="18"/>
              </w:rPr>
            </w:pPr>
          </w:p>
        </w:tc>
      </w:tr>
      <w:tr w:rsidR="00FB587F" w:rsidRPr="00FB587F" w14:paraId="6E20C99C" w14:textId="77777777" w:rsidTr="00FB587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7F" w:rsidRPr="00FB587F" w14:paraId="346414E5" w14:textId="77777777">
              <w:trPr>
                <w:tblCellSpacing w:w="0" w:type="dxa"/>
              </w:trPr>
              <w:tc>
                <w:tcPr>
                  <w:tcW w:w="2500" w:type="pct"/>
                  <w:tcMar>
                    <w:top w:w="30" w:type="dxa"/>
                    <w:left w:w="30" w:type="dxa"/>
                    <w:bottom w:w="30" w:type="dxa"/>
                    <w:right w:w="30" w:type="dxa"/>
                  </w:tcMar>
                  <w:hideMark/>
                </w:tcPr>
                <w:p w14:paraId="45043AD5"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发布机构:</w:t>
                  </w:r>
                  <w:r w:rsidRPr="00FB587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E51D4F8"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发文日期:</w:t>
                  </w:r>
                  <w:r w:rsidRPr="00FB587F">
                    <w:rPr>
                      <w:rFonts w:ascii="宋体" w:eastAsia="宋体" w:hAnsi="宋体" w:cs="宋体"/>
                      <w:color w:val="686868"/>
                      <w:kern w:val="0"/>
                      <w:sz w:val="18"/>
                      <w:szCs w:val="18"/>
                    </w:rPr>
                    <w:t> 2020年06月12日</w:t>
                  </w:r>
                </w:p>
              </w:tc>
            </w:tr>
          </w:tbl>
          <w:p w14:paraId="7E82771F" w14:textId="77777777" w:rsidR="00FB587F" w:rsidRPr="00FB587F" w:rsidRDefault="00FB587F" w:rsidP="00FB587F">
            <w:pPr>
              <w:widowControl/>
              <w:jc w:val="left"/>
              <w:rPr>
                <w:rFonts w:ascii="宋体" w:eastAsia="宋体" w:hAnsi="宋体" w:cs="宋体" w:hint="eastAsia"/>
                <w:color w:val="686868"/>
                <w:kern w:val="0"/>
                <w:sz w:val="18"/>
                <w:szCs w:val="18"/>
              </w:rPr>
            </w:pPr>
          </w:p>
        </w:tc>
      </w:tr>
      <w:tr w:rsidR="00FB587F" w:rsidRPr="00FB587F" w14:paraId="7D473C78" w14:textId="77777777" w:rsidTr="00FB587F">
        <w:trPr>
          <w:tblCellSpacing w:w="0" w:type="dxa"/>
          <w:jc w:val="center"/>
        </w:trPr>
        <w:tc>
          <w:tcPr>
            <w:tcW w:w="0" w:type="auto"/>
            <w:tcMar>
              <w:top w:w="30" w:type="dxa"/>
              <w:left w:w="30" w:type="dxa"/>
              <w:bottom w:w="30" w:type="dxa"/>
              <w:right w:w="30" w:type="dxa"/>
            </w:tcMar>
            <w:hideMark/>
          </w:tcPr>
          <w:p w14:paraId="7AE34E7E"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名　　称:</w:t>
            </w:r>
            <w:r w:rsidRPr="00FB587F">
              <w:rPr>
                <w:rFonts w:ascii="宋体" w:eastAsia="宋体" w:hAnsi="宋体" w:cs="宋体"/>
                <w:color w:val="686868"/>
                <w:kern w:val="0"/>
                <w:sz w:val="18"/>
                <w:szCs w:val="18"/>
              </w:rPr>
              <w:t> 中国证监会行政处罚决定书（程晓）</w:t>
            </w:r>
          </w:p>
        </w:tc>
      </w:tr>
      <w:tr w:rsidR="00FB587F" w:rsidRPr="00FB587F" w14:paraId="2D37357C" w14:textId="77777777" w:rsidTr="00FB587F">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7F" w:rsidRPr="00FB587F" w14:paraId="7B86B968" w14:textId="77777777">
              <w:trPr>
                <w:tblCellSpacing w:w="0" w:type="dxa"/>
              </w:trPr>
              <w:tc>
                <w:tcPr>
                  <w:tcW w:w="2500" w:type="pct"/>
                  <w:tcMar>
                    <w:top w:w="30" w:type="dxa"/>
                    <w:left w:w="30" w:type="dxa"/>
                    <w:bottom w:w="30" w:type="dxa"/>
                    <w:right w:w="30" w:type="dxa"/>
                  </w:tcMar>
                  <w:hideMark/>
                </w:tcPr>
                <w:p w14:paraId="30E7BBCF"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文　　号:</w:t>
                  </w:r>
                  <w:r w:rsidRPr="00FB587F">
                    <w:rPr>
                      <w:rFonts w:ascii="宋体" w:eastAsia="宋体" w:hAnsi="宋体" w:cs="宋体"/>
                      <w:color w:val="686868"/>
                      <w:kern w:val="0"/>
                      <w:sz w:val="18"/>
                      <w:szCs w:val="18"/>
                    </w:rPr>
                    <w:t> 〔2020〕28号</w:t>
                  </w:r>
                </w:p>
              </w:tc>
              <w:tc>
                <w:tcPr>
                  <w:tcW w:w="0" w:type="auto"/>
                  <w:tcMar>
                    <w:top w:w="30" w:type="dxa"/>
                    <w:left w:w="30" w:type="dxa"/>
                    <w:bottom w:w="30" w:type="dxa"/>
                    <w:right w:w="30" w:type="dxa"/>
                  </w:tcMar>
                  <w:hideMark/>
                </w:tcPr>
                <w:p w14:paraId="451CC38C" w14:textId="77777777" w:rsidR="00FB587F" w:rsidRPr="00FB587F" w:rsidRDefault="00FB587F" w:rsidP="00FB587F">
                  <w:pPr>
                    <w:widowControl/>
                    <w:jc w:val="left"/>
                    <w:rPr>
                      <w:rFonts w:ascii="宋体" w:eastAsia="宋体" w:hAnsi="宋体" w:cs="宋体" w:hint="eastAsia"/>
                      <w:color w:val="686868"/>
                      <w:kern w:val="0"/>
                      <w:sz w:val="18"/>
                      <w:szCs w:val="18"/>
                    </w:rPr>
                  </w:pPr>
                  <w:r w:rsidRPr="00FB587F">
                    <w:rPr>
                      <w:rFonts w:ascii="宋体" w:eastAsia="宋体" w:hAnsi="宋体" w:cs="宋体"/>
                      <w:b/>
                      <w:bCs/>
                      <w:color w:val="686868"/>
                      <w:kern w:val="0"/>
                      <w:sz w:val="18"/>
                      <w:szCs w:val="18"/>
                    </w:rPr>
                    <w:t>主 题 词:</w:t>
                  </w:r>
                </w:p>
              </w:tc>
            </w:tr>
          </w:tbl>
          <w:p w14:paraId="7A83CC08" w14:textId="77777777" w:rsidR="00FB587F" w:rsidRPr="00FB587F" w:rsidRDefault="00FB587F" w:rsidP="00FB587F">
            <w:pPr>
              <w:widowControl/>
              <w:jc w:val="left"/>
              <w:rPr>
                <w:rFonts w:ascii="宋体" w:eastAsia="宋体" w:hAnsi="宋体" w:cs="宋体" w:hint="eastAsia"/>
                <w:color w:val="686868"/>
                <w:kern w:val="0"/>
                <w:sz w:val="18"/>
                <w:szCs w:val="18"/>
              </w:rPr>
            </w:pPr>
          </w:p>
        </w:tc>
      </w:tr>
    </w:tbl>
    <w:p w14:paraId="3A0BA326" w14:textId="77777777" w:rsidR="00FB587F" w:rsidRPr="00FB587F" w:rsidRDefault="00000000" w:rsidP="00FB587F">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C86A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B7EBF1F" w14:textId="77777777" w:rsidR="00FB587F" w:rsidRPr="00FB587F" w:rsidRDefault="00FB587F" w:rsidP="00FB587F">
      <w:pPr>
        <w:widowControl/>
        <w:shd w:val="clear" w:color="auto" w:fill="FFFFFF"/>
        <w:spacing w:after="240"/>
        <w:jc w:val="center"/>
        <w:rPr>
          <w:rFonts w:ascii="微软雅黑" w:eastAsia="微软雅黑" w:hAnsi="微软雅黑" w:cs="宋体" w:hint="eastAsia"/>
          <w:color w:val="000000"/>
          <w:kern w:val="0"/>
          <w:sz w:val="18"/>
          <w:szCs w:val="18"/>
        </w:rPr>
      </w:pPr>
      <w:r w:rsidRPr="00FB587F">
        <w:rPr>
          <w:rFonts w:ascii="微软雅黑" w:eastAsia="微软雅黑" w:hAnsi="微软雅黑" w:cs="宋体" w:hint="eastAsia"/>
          <w:color w:val="000000"/>
          <w:kern w:val="0"/>
          <w:sz w:val="18"/>
          <w:szCs w:val="18"/>
        </w:rPr>
        <w:br/>
      </w:r>
      <w:r w:rsidRPr="00FB587F">
        <w:rPr>
          <w:rFonts w:ascii="黑体" w:eastAsia="黑体" w:hAnsi="黑体" w:cs="宋体" w:hint="eastAsia"/>
          <w:b/>
          <w:bCs/>
          <w:color w:val="FF0000"/>
          <w:kern w:val="0"/>
          <w:sz w:val="36"/>
          <w:szCs w:val="36"/>
        </w:rPr>
        <w:t>中国证监会行政处罚决定书（程晓）</w:t>
      </w:r>
    </w:p>
    <w:p w14:paraId="7876EBB0" w14:textId="77777777" w:rsidR="00FB587F" w:rsidRPr="00FB587F" w:rsidRDefault="00FB587F" w:rsidP="00FB587F">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587F">
        <w:rPr>
          <w:rFonts w:ascii="Calibri" w:eastAsia="楷体" w:hAnsi="Calibri" w:cs="Calibri"/>
          <w:color w:val="000000"/>
          <w:kern w:val="0"/>
          <w:sz w:val="24"/>
          <w:szCs w:val="24"/>
        </w:rPr>
        <w:t> </w:t>
      </w:r>
    </w:p>
    <w:p w14:paraId="053CC0A4" w14:textId="77777777" w:rsidR="00FB587F" w:rsidRPr="00FB587F" w:rsidRDefault="00FB587F" w:rsidP="00FB587F">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w:t>
      </w:r>
      <w:r w:rsidRPr="00FB587F">
        <w:rPr>
          <w:rFonts w:ascii="楷体" w:eastAsia="楷体" w:hAnsi="楷体" w:cs="宋体" w:hint="eastAsia"/>
          <w:color w:val="000000"/>
          <w:kern w:val="0"/>
          <w:sz w:val="30"/>
          <w:szCs w:val="30"/>
        </w:rPr>
        <w:t>2020</w:t>
      </w:r>
      <w:r w:rsidRPr="00FB587F">
        <w:rPr>
          <w:rFonts w:ascii="楷体" w:eastAsia="楷体" w:hAnsi="楷体" w:cs="宋体" w:hint="eastAsia"/>
          <w:color w:val="000000"/>
          <w:kern w:val="0"/>
          <w:sz w:val="24"/>
          <w:szCs w:val="24"/>
        </w:rPr>
        <w:t>〕</w:t>
      </w:r>
      <w:r w:rsidRPr="00FB587F">
        <w:rPr>
          <w:rFonts w:ascii="楷体" w:eastAsia="楷体" w:hAnsi="楷体" w:cs="宋体" w:hint="eastAsia"/>
          <w:color w:val="000000"/>
          <w:kern w:val="0"/>
          <w:sz w:val="30"/>
          <w:szCs w:val="30"/>
        </w:rPr>
        <w:t>28</w:t>
      </w:r>
      <w:r w:rsidRPr="00FB587F">
        <w:rPr>
          <w:rFonts w:ascii="楷体" w:eastAsia="楷体" w:hAnsi="楷体" w:cs="宋体" w:hint="eastAsia"/>
          <w:color w:val="000000"/>
          <w:kern w:val="0"/>
          <w:sz w:val="24"/>
          <w:szCs w:val="24"/>
        </w:rPr>
        <w:t>号</w:t>
      </w:r>
    </w:p>
    <w:p w14:paraId="06B7173E" w14:textId="77777777" w:rsidR="00FB587F" w:rsidRPr="00FB587F" w:rsidRDefault="00FB587F" w:rsidP="00FB587F">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587F">
        <w:rPr>
          <w:rFonts w:ascii="Calibri" w:eastAsia="楷体" w:hAnsi="Calibri" w:cs="Calibri"/>
          <w:b/>
          <w:bCs/>
          <w:color w:val="000000"/>
          <w:kern w:val="0"/>
          <w:sz w:val="24"/>
          <w:szCs w:val="24"/>
        </w:rPr>
        <w:t> </w:t>
      </w:r>
    </w:p>
    <w:p w14:paraId="390359D3"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当事人：程晓，男，</w:t>
      </w:r>
      <w:r w:rsidRPr="00FB587F">
        <w:rPr>
          <w:rFonts w:ascii="楷体" w:eastAsia="楷体" w:hAnsi="楷体" w:cs="宋体" w:hint="eastAsia"/>
          <w:color w:val="000000"/>
          <w:kern w:val="0"/>
          <w:sz w:val="30"/>
          <w:szCs w:val="30"/>
        </w:rPr>
        <w:t>1980</w:t>
      </w:r>
      <w:r w:rsidRPr="00FB587F">
        <w:rPr>
          <w:rFonts w:ascii="楷体" w:eastAsia="楷体" w:hAnsi="楷体" w:cs="宋体" w:hint="eastAsia"/>
          <w:color w:val="000000"/>
          <w:kern w:val="0"/>
          <w:sz w:val="24"/>
          <w:szCs w:val="24"/>
        </w:rPr>
        <w:t>年</w:t>
      </w:r>
      <w:r w:rsidRPr="00FB587F">
        <w:rPr>
          <w:rFonts w:ascii="楷体" w:eastAsia="楷体" w:hAnsi="楷体" w:cs="宋体" w:hint="eastAsia"/>
          <w:color w:val="000000"/>
          <w:kern w:val="0"/>
          <w:sz w:val="30"/>
          <w:szCs w:val="30"/>
        </w:rPr>
        <w:t>2</w:t>
      </w:r>
      <w:r w:rsidRPr="00FB587F">
        <w:rPr>
          <w:rFonts w:ascii="楷体" w:eastAsia="楷体" w:hAnsi="楷体" w:cs="宋体" w:hint="eastAsia"/>
          <w:color w:val="000000"/>
          <w:kern w:val="0"/>
          <w:sz w:val="24"/>
          <w:szCs w:val="24"/>
        </w:rPr>
        <w:t>月出生，住址：广东省深圳市福田区。</w:t>
      </w:r>
    </w:p>
    <w:p w14:paraId="5099C540"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依据</w:t>
      </w:r>
      <w:r w:rsidRPr="00FB587F">
        <w:rPr>
          <w:rFonts w:ascii="楷体" w:eastAsia="楷体" w:hAnsi="楷体" w:cs="宋体" w:hint="eastAsia"/>
          <w:color w:val="000000"/>
          <w:kern w:val="0"/>
          <w:sz w:val="30"/>
          <w:szCs w:val="30"/>
        </w:rPr>
        <w:t>2005</w:t>
      </w:r>
      <w:r w:rsidRPr="00FB587F">
        <w:rPr>
          <w:rFonts w:ascii="楷体" w:eastAsia="楷体" w:hAnsi="楷体" w:cs="宋体" w:hint="eastAsia"/>
          <w:color w:val="000000"/>
          <w:kern w:val="0"/>
          <w:sz w:val="24"/>
          <w:szCs w:val="24"/>
        </w:rPr>
        <w:t>年修订的《中华人民共和国证券法》（以下简称</w:t>
      </w:r>
      <w:r w:rsidRPr="00FB587F">
        <w:rPr>
          <w:rFonts w:ascii="楷体" w:eastAsia="楷体" w:hAnsi="楷体" w:cs="宋体" w:hint="eastAsia"/>
          <w:color w:val="000000"/>
          <w:kern w:val="0"/>
          <w:sz w:val="30"/>
          <w:szCs w:val="30"/>
        </w:rPr>
        <w:t>2005</w:t>
      </w:r>
      <w:r w:rsidRPr="00FB587F">
        <w:rPr>
          <w:rFonts w:ascii="楷体" w:eastAsia="楷体" w:hAnsi="楷体" w:cs="宋体" w:hint="eastAsia"/>
          <w:color w:val="000000"/>
          <w:kern w:val="0"/>
          <w:sz w:val="24"/>
          <w:szCs w:val="24"/>
        </w:rPr>
        <w:t>年《证券法》）有关规定，我会对程晓内幕交易深圳市新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股份有限公司（以下简称新纶科技）股票的行为进行了立案调查、审理，并依法向当事人告知了</w:t>
      </w:r>
      <w:proofErr w:type="gramStart"/>
      <w:r w:rsidRPr="00FB587F">
        <w:rPr>
          <w:rFonts w:ascii="楷体" w:eastAsia="楷体" w:hAnsi="楷体" w:cs="宋体" w:hint="eastAsia"/>
          <w:color w:val="000000"/>
          <w:kern w:val="0"/>
          <w:sz w:val="24"/>
          <w:szCs w:val="24"/>
        </w:rPr>
        <w:t>作出</w:t>
      </w:r>
      <w:proofErr w:type="gramEnd"/>
      <w:r w:rsidRPr="00FB587F">
        <w:rPr>
          <w:rFonts w:ascii="楷体" w:eastAsia="楷体" w:hAnsi="楷体" w:cs="宋体" w:hint="eastAsia"/>
          <w:color w:val="000000"/>
          <w:kern w:val="0"/>
          <w:sz w:val="24"/>
          <w:szCs w:val="24"/>
        </w:rPr>
        <w:t>行政处罚的事实、理由、依据及当事人依法享有的权利，当事人未提出陈述、申辩意见，也未要求听证。本案现已调查、审理终结。</w:t>
      </w:r>
    </w:p>
    <w:p w14:paraId="3630FAAC"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经查明，程晓存在以下违法事实：</w:t>
      </w:r>
    </w:p>
    <w:p w14:paraId="100D6AD5"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一、内幕信息形成、公开过程及知情人</w:t>
      </w:r>
    </w:p>
    <w:p w14:paraId="6DC838C1"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年1月底，新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财务部门开始向公司董事会秘书处（以下</w:t>
      </w:r>
      <w:proofErr w:type="gramStart"/>
      <w:r w:rsidRPr="00FB587F">
        <w:rPr>
          <w:rFonts w:ascii="楷体" w:eastAsia="楷体" w:hAnsi="楷体" w:cs="宋体" w:hint="eastAsia"/>
          <w:color w:val="000000"/>
          <w:kern w:val="0"/>
          <w:sz w:val="24"/>
          <w:szCs w:val="24"/>
        </w:rPr>
        <w:t>简称董秘处</w:t>
      </w:r>
      <w:proofErr w:type="gramEnd"/>
      <w:r w:rsidRPr="00FB587F">
        <w:rPr>
          <w:rFonts w:ascii="楷体" w:eastAsia="楷体" w:hAnsi="楷体" w:cs="宋体" w:hint="eastAsia"/>
          <w:color w:val="000000"/>
          <w:kern w:val="0"/>
          <w:sz w:val="24"/>
          <w:szCs w:val="24"/>
        </w:rPr>
        <w:t>）提供财务数据用于编制利润分配预案。2018年1月底、2月初，</w:t>
      </w:r>
      <w:proofErr w:type="gramStart"/>
      <w:r w:rsidRPr="00FB587F">
        <w:rPr>
          <w:rFonts w:ascii="楷体" w:eastAsia="楷体" w:hAnsi="楷体" w:cs="宋体" w:hint="eastAsia"/>
          <w:color w:val="000000"/>
          <w:kern w:val="0"/>
          <w:sz w:val="24"/>
          <w:szCs w:val="24"/>
        </w:rPr>
        <w:t>董秘处</w:t>
      </w:r>
      <w:proofErr w:type="gramEnd"/>
      <w:r w:rsidRPr="00FB587F">
        <w:rPr>
          <w:rFonts w:ascii="楷体" w:eastAsia="楷体" w:hAnsi="楷体" w:cs="宋体" w:hint="eastAsia"/>
          <w:color w:val="000000"/>
          <w:kern w:val="0"/>
          <w:sz w:val="24"/>
          <w:szCs w:val="24"/>
        </w:rPr>
        <w:t>内部讨论包含利润分配预案在内的2017年度董事会议案事项。2018年2月初，新</w:t>
      </w:r>
      <w:proofErr w:type="gramStart"/>
      <w:r w:rsidRPr="00FB587F">
        <w:rPr>
          <w:rFonts w:ascii="楷体" w:eastAsia="楷体" w:hAnsi="楷体" w:cs="宋体" w:hint="eastAsia"/>
          <w:color w:val="000000"/>
          <w:kern w:val="0"/>
          <w:sz w:val="24"/>
          <w:szCs w:val="24"/>
        </w:rPr>
        <w:t>纶科技常务</w:t>
      </w:r>
      <w:proofErr w:type="gramEnd"/>
      <w:r w:rsidRPr="00FB587F">
        <w:rPr>
          <w:rFonts w:ascii="楷体" w:eastAsia="楷体" w:hAnsi="楷体" w:cs="宋体" w:hint="eastAsia"/>
          <w:color w:val="000000"/>
          <w:kern w:val="0"/>
          <w:sz w:val="24"/>
          <w:szCs w:val="24"/>
        </w:rPr>
        <w:t>副董事长兼总裁傅某向公司实际控制人兼董事长侯某提出资本公积转增股本的建议，其间，</w:t>
      </w:r>
      <w:proofErr w:type="gramStart"/>
      <w:r w:rsidRPr="00FB587F">
        <w:rPr>
          <w:rFonts w:ascii="楷体" w:eastAsia="楷体" w:hAnsi="楷体" w:cs="宋体" w:hint="eastAsia"/>
          <w:color w:val="000000"/>
          <w:kern w:val="0"/>
          <w:sz w:val="24"/>
          <w:szCs w:val="24"/>
        </w:rPr>
        <w:t>董秘处</w:t>
      </w:r>
      <w:proofErr w:type="gramEnd"/>
      <w:r w:rsidRPr="00FB587F">
        <w:rPr>
          <w:rFonts w:ascii="楷体" w:eastAsia="楷体" w:hAnsi="楷体" w:cs="宋体" w:hint="eastAsia"/>
          <w:color w:val="000000"/>
          <w:kern w:val="0"/>
          <w:sz w:val="24"/>
          <w:szCs w:val="24"/>
        </w:rPr>
        <w:t>初步拟定向全体股东以资本公积每</w:t>
      </w:r>
      <w:r w:rsidRPr="00FB587F">
        <w:rPr>
          <w:rFonts w:ascii="楷体" w:eastAsia="楷体" w:hAnsi="楷体" w:cs="宋体" w:hint="eastAsia"/>
          <w:color w:val="000000"/>
          <w:kern w:val="0"/>
          <w:sz w:val="30"/>
          <w:szCs w:val="30"/>
        </w:rPr>
        <w:t>10</w:t>
      </w:r>
      <w:r w:rsidRPr="00FB587F">
        <w:rPr>
          <w:rFonts w:ascii="楷体" w:eastAsia="楷体" w:hAnsi="楷体" w:cs="宋体" w:hint="eastAsia"/>
          <w:color w:val="000000"/>
          <w:kern w:val="0"/>
          <w:sz w:val="24"/>
          <w:szCs w:val="24"/>
        </w:rPr>
        <w:t>股转增10股的方案。</w:t>
      </w:r>
    </w:p>
    <w:p w14:paraId="353639FA"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年2月5日前一两天，时任新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副总裁兼董事会秘书高某</w:t>
      </w:r>
      <w:proofErr w:type="gramStart"/>
      <w:r w:rsidRPr="00FB587F">
        <w:rPr>
          <w:rFonts w:ascii="楷体" w:eastAsia="楷体" w:hAnsi="楷体" w:cs="宋体" w:hint="eastAsia"/>
          <w:color w:val="000000"/>
          <w:kern w:val="0"/>
          <w:sz w:val="24"/>
          <w:szCs w:val="24"/>
        </w:rPr>
        <w:t>安排董秘处</w:t>
      </w:r>
      <w:proofErr w:type="gramEnd"/>
      <w:r w:rsidRPr="00FB587F">
        <w:rPr>
          <w:rFonts w:ascii="楷体" w:eastAsia="楷体" w:hAnsi="楷体" w:cs="宋体" w:hint="eastAsia"/>
          <w:color w:val="000000"/>
          <w:kern w:val="0"/>
          <w:sz w:val="24"/>
          <w:szCs w:val="24"/>
        </w:rPr>
        <w:t>主任助理张某起草利润分配及资本公积转增股本的方案，即以总股本为基数，现金红利金额是当年净利润的</w:t>
      </w:r>
      <w:r w:rsidRPr="00FB587F">
        <w:rPr>
          <w:rFonts w:ascii="楷体" w:eastAsia="楷体" w:hAnsi="楷体" w:cs="宋体" w:hint="eastAsia"/>
          <w:color w:val="000000"/>
          <w:kern w:val="0"/>
          <w:sz w:val="30"/>
          <w:szCs w:val="30"/>
        </w:rPr>
        <w:t>10%</w:t>
      </w:r>
      <w:r w:rsidRPr="00FB587F">
        <w:rPr>
          <w:rFonts w:ascii="楷体" w:eastAsia="楷体" w:hAnsi="楷体" w:cs="宋体" w:hint="eastAsia"/>
          <w:color w:val="000000"/>
          <w:kern w:val="0"/>
          <w:sz w:val="24"/>
          <w:szCs w:val="24"/>
        </w:rPr>
        <w:t>，同时以资本公积金向全体股东每10股转增10股。2月5日，张某起草《关于</w:t>
      </w:r>
      <w:r w:rsidRPr="00FB587F">
        <w:rPr>
          <w:rFonts w:ascii="楷体" w:eastAsia="楷体" w:hAnsi="楷体" w:cs="宋体" w:hint="eastAsia"/>
          <w:color w:val="000000"/>
          <w:kern w:val="0"/>
          <w:sz w:val="30"/>
          <w:szCs w:val="30"/>
        </w:rPr>
        <w:t>2017</w:t>
      </w:r>
      <w:r w:rsidRPr="00FB587F">
        <w:rPr>
          <w:rFonts w:ascii="楷体" w:eastAsia="楷体" w:hAnsi="楷体" w:cs="宋体" w:hint="eastAsia"/>
          <w:color w:val="000000"/>
          <w:kern w:val="0"/>
          <w:sz w:val="24"/>
          <w:szCs w:val="24"/>
        </w:rPr>
        <w:t>年度利润分配及资本公积转增</w:t>
      </w:r>
      <w:r w:rsidRPr="00FB587F">
        <w:rPr>
          <w:rFonts w:ascii="楷体" w:eastAsia="楷体" w:hAnsi="楷体" w:cs="宋体" w:hint="eastAsia"/>
          <w:color w:val="000000"/>
          <w:kern w:val="0"/>
          <w:sz w:val="24"/>
          <w:szCs w:val="24"/>
        </w:rPr>
        <w:lastRenderedPageBreak/>
        <w:t>股本预案的公告》并发给高某，高某随后将张某起草的方案分别向傅某、侯某汇报。</w:t>
      </w:r>
      <w:r w:rsidRPr="00FB587F">
        <w:rPr>
          <w:rFonts w:ascii="楷体" w:eastAsia="楷体" w:hAnsi="楷体" w:cs="宋体" w:hint="eastAsia"/>
          <w:color w:val="000000"/>
          <w:kern w:val="0"/>
          <w:sz w:val="30"/>
          <w:szCs w:val="30"/>
        </w:rPr>
        <w:t>2</w:t>
      </w:r>
      <w:r w:rsidRPr="00FB587F">
        <w:rPr>
          <w:rFonts w:ascii="楷体" w:eastAsia="楷体" w:hAnsi="楷体" w:cs="宋体" w:hint="eastAsia"/>
          <w:color w:val="000000"/>
          <w:kern w:val="0"/>
          <w:sz w:val="24"/>
          <w:szCs w:val="24"/>
        </w:rPr>
        <w:t>月13日，傅某、高某与侯某讨论决定在利润分配的同时以资本公积金每</w:t>
      </w:r>
      <w:r w:rsidRPr="00FB587F">
        <w:rPr>
          <w:rFonts w:ascii="楷体" w:eastAsia="楷体" w:hAnsi="楷体" w:cs="宋体" w:hint="eastAsia"/>
          <w:color w:val="000000"/>
          <w:kern w:val="0"/>
          <w:sz w:val="30"/>
          <w:szCs w:val="30"/>
        </w:rPr>
        <w:t>10</w:t>
      </w:r>
      <w:r w:rsidRPr="00FB587F">
        <w:rPr>
          <w:rFonts w:ascii="楷体" w:eastAsia="楷体" w:hAnsi="楷体" w:cs="宋体" w:hint="eastAsia"/>
          <w:color w:val="000000"/>
          <w:kern w:val="0"/>
          <w:sz w:val="24"/>
          <w:szCs w:val="24"/>
        </w:rPr>
        <w:t>股转增10股。2月27日上午，新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董事会和监事会先后审议通过《关于</w:t>
      </w:r>
      <w:r w:rsidRPr="00FB587F">
        <w:rPr>
          <w:rFonts w:ascii="楷体" w:eastAsia="楷体" w:hAnsi="楷体" w:cs="宋体" w:hint="eastAsia"/>
          <w:color w:val="000000"/>
          <w:kern w:val="0"/>
          <w:sz w:val="30"/>
          <w:szCs w:val="30"/>
        </w:rPr>
        <w:t>2017</w:t>
      </w:r>
      <w:r w:rsidRPr="00FB587F">
        <w:rPr>
          <w:rFonts w:ascii="楷体" w:eastAsia="楷体" w:hAnsi="楷体" w:cs="宋体" w:hint="eastAsia"/>
          <w:color w:val="000000"/>
          <w:kern w:val="0"/>
          <w:sz w:val="24"/>
          <w:szCs w:val="24"/>
        </w:rPr>
        <w:t>年度利润分配及资本公积转增股本预案的议案》。2月28日，新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发布《关于2017年度利润分配及资本公积转增股本预案的公告》，称拟以总股本</w:t>
      </w:r>
      <w:r w:rsidRPr="00FB587F">
        <w:rPr>
          <w:rFonts w:ascii="楷体" w:eastAsia="楷体" w:hAnsi="楷体" w:cs="宋体" w:hint="eastAsia"/>
          <w:color w:val="000000"/>
          <w:kern w:val="0"/>
          <w:sz w:val="30"/>
          <w:szCs w:val="30"/>
        </w:rPr>
        <w:t>503,216,492</w:t>
      </w:r>
      <w:r w:rsidRPr="00FB587F">
        <w:rPr>
          <w:rFonts w:ascii="楷体" w:eastAsia="楷体" w:hAnsi="楷体" w:cs="宋体" w:hint="eastAsia"/>
          <w:color w:val="000000"/>
          <w:kern w:val="0"/>
          <w:sz w:val="24"/>
          <w:szCs w:val="24"/>
        </w:rPr>
        <w:t>股为基数，每</w:t>
      </w:r>
      <w:r w:rsidRPr="00FB587F">
        <w:rPr>
          <w:rFonts w:ascii="楷体" w:eastAsia="楷体" w:hAnsi="楷体" w:cs="宋体" w:hint="eastAsia"/>
          <w:color w:val="000000"/>
          <w:kern w:val="0"/>
          <w:sz w:val="30"/>
          <w:szCs w:val="30"/>
        </w:rPr>
        <w:t>10</w:t>
      </w:r>
      <w:r w:rsidRPr="00FB587F">
        <w:rPr>
          <w:rFonts w:ascii="楷体" w:eastAsia="楷体" w:hAnsi="楷体" w:cs="宋体" w:hint="eastAsia"/>
          <w:color w:val="000000"/>
          <w:kern w:val="0"/>
          <w:sz w:val="24"/>
          <w:szCs w:val="24"/>
        </w:rPr>
        <w:t>股派发现金红利0.35元（含税），同时进行资本公积金转增股本，向全体股东每10股转增10股。</w:t>
      </w:r>
    </w:p>
    <w:p w14:paraId="7C5AFB04"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以上事实，有相关公告文件、工作邮件、情况说明、会议通知、会议记录、会议决议、询问笔录等证据证明，足以认定。</w:t>
      </w:r>
    </w:p>
    <w:p w14:paraId="495CC86E"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我会认为，新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30"/>
          <w:szCs w:val="30"/>
        </w:rPr>
        <w:t>2017</w:t>
      </w:r>
      <w:r w:rsidRPr="00FB587F">
        <w:rPr>
          <w:rFonts w:ascii="楷体" w:eastAsia="楷体" w:hAnsi="楷体" w:cs="宋体" w:hint="eastAsia"/>
          <w:color w:val="000000"/>
          <w:kern w:val="0"/>
          <w:sz w:val="24"/>
          <w:szCs w:val="24"/>
        </w:rPr>
        <w:t>年度利润分配及资本公积转增股本方案，属于2005年《证券法》第七十五条第二款第二项规定的情形，在公开前为内幕信息。内幕信息形成时间不晚于2018年2月5日，公开时间为2018年2月28日，高某不晚于</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年2月5日知悉内幕信息。</w:t>
      </w:r>
    </w:p>
    <w:p w14:paraId="07820718"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二、程晓内幕交易</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新纶科技”</w:t>
      </w:r>
    </w:p>
    <w:p w14:paraId="2256E31C"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涉案期间，程晓与高某有频繁</w:t>
      </w:r>
      <w:proofErr w:type="gramStart"/>
      <w:r w:rsidRPr="00FB587F">
        <w:rPr>
          <w:rFonts w:ascii="楷体" w:eastAsia="楷体" w:hAnsi="楷体" w:cs="宋体" w:hint="eastAsia"/>
          <w:color w:val="000000"/>
          <w:kern w:val="0"/>
          <w:sz w:val="24"/>
          <w:szCs w:val="24"/>
        </w:rPr>
        <w:t>通讯联络</w:t>
      </w:r>
      <w:proofErr w:type="gramEnd"/>
      <w:r w:rsidRPr="00FB587F">
        <w:rPr>
          <w:rFonts w:ascii="楷体" w:eastAsia="楷体" w:hAnsi="楷体" w:cs="宋体" w:hint="eastAsia"/>
          <w:color w:val="000000"/>
          <w:kern w:val="0"/>
          <w:sz w:val="24"/>
          <w:szCs w:val="24"/>
        </w:rPr>
        <w:t>，程晓控制使用其母</w:t>
      </w:r>
      <w:proofErr w:type="gramStart"/>
      <w:r w:rsidRPr="00FB587F">
        <w:rPr>
          <w:rFonts w:ascii="楷体" w:eastAsia="楷体" w:hAnsi="楷体" w:cs="宋体" w:hint="eastAsia"/>
          <w:color w:val="000000"/>
          <w:kern w:val="0"/>
          <w:sz w:val="24"/>
          <w:szCs w:val="24"/>
        </w:rPr>
        <w:t>郑某平名下</w:t>
      </w:r>
      <w:proofErr w:type="gramEnd"/>
      <w:r w:rsidRPr="00FB587F">
        <w:rPr>
          <w:rFonts w:ascii="楷体" w:eastAsia="楷体" w:hAnsi="楷体" w:cs="宋体" w:hint="eastAsia"/>
          <w:color w:val="000000"/>
          <w:kern w:val="0"/>
          <w:sz w:val="24"/>
          <w:szCs w:val="24"/>
        </w:rPr>
        <w:t>证券账户于</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年2月27日买入“新纶科技”</w:t>
      </w:r>
      <w:r w:rsidRPr="00FB587F">
        <w:rPr>
          <w:rFonts w:ascii="楷体" w:eastAsia="楷体" w:hAnsi="楷体" w:cs="宋体" w:hint="eastAsia"/>
          <w:color w:val="000000"/>
          <w:kern w:val="0"/>
          <w:sz w:val="30"/>
          <w:szCs w:val="30"/>
        </w:rPr>
        <w:t>116,000</w:t>
      </w:r>
      <w:r w:rsidRPr="00FB587F">
        <w:rPr>
          <w:rFonts w:ascii="楷体" w:eastAsia="楷体" w:hAnsi="楷体" w:cs="宋体" w:hint="eastAsia"/>
          <w:color w:val="000000"/>
          <w:kern w:val="0"/>
          <w:sz w:val="24"/>
          <w:szCs w:val="24"/>
        </w:rPr>
        <w:t>股，相关交易活动明显异常，涉案股票卖出后获利</w:t>
      </w:r>
      <w:r w:rsidRPr="00FB587F">
        <w:rPr>
          <w:rFonts w:ascii="楷体" w:eastAsia="楷体" w:hAnsi="楷体" w:cs="宋体" w:hint="eastAsia"/>
          <w:color w:val="000000"/>
          <w:kern w:val="0"/>
          <w:sz w:val="30"/>
          <w:szCs w:val="30"/>
        </w:rPr>
        <w:t>85,567.47</w:t>
      </w:r>
      <w:r w:rsidRPr="00FB587F">
        <w:rPr>
          <w:rFonts w:ascii="楷体" w:eastAsia="楷体" w:hAnsi="楷体" w:cs="宋体" w:hint="eastAsia"/>
          <w:color w:val="000000"/>
          <w:kern w:val="0"/>
          <w:sz w:val="24"/>
          <w:szCs w:val="24"/>
        </w:rPr>
        <w:t>元（已扣除交易税费，下同）。具体情况如下：</w:t>
      </w:r>
    </w:p>
    <w:p w14:paraId="7A537645"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（一）账户基本信息、交易情况及交易特征</w:t>
      </w:r>
    </w:p>
    <w:p w14:paraId="6EED31BF" w14:textId="77777777" w:rsidR="00FB587F" w:rsidRPr="00FB587F" w:rsidRDefault="00FB587F" w:rsidP="00FB587F">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587F">
        <w:rPr>
          <w:rFonts w:ascii="楷体" w:eastAsia="楷体" w:hAnsi="楷体" w:cs="宋体" w:hint="eastAsia"/>
          <w:b/>
          <w:bCs/>
          <w:color w:val="000000"/>
          <w:kern w:val="0"/>
          <w:sz w:val="30"/>
          <w:szCs w:val="30"/>
        </w:rPr>
        <w:t>1.</w:t>
      </w:r>
      <w:r w:rsidRPr="00FB587F">
        <w:rPr>
          <w:rFonts w:ascii="楷体" w:eastAsia="楷体" w:hAnsi="楷体" w:cs="宋体" w:hint="eastAsia"/>
          <w:b/>
          <w:bCs/>
          <w:color w:val="000000"/>
          <w:kern w:val="0"/>
          <w:sz w:val="24"/>
          <w:szCs w:val="24"/>
        </w:rPr>
        <w:t>账户基本信息及交易“新纶科技”的情况</w:t>
      </w:r>
    </w:p>
    <w:p w14:paraId="1C9A4FD2"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账户于2013年2月26日在华泰证券深圳民田路证券营业部开立，资金账户为0430</w:t>
      </w:r>
      <w:r w:rsidRPr="00FB587F">
        <w:rPr>
          <w:rFonts w:ascii="楷体" w:eastAsia="楷体" w:hAnsi="楷体" w:cs="宋体" w:hint="eastAsia"/>
          <w:color w:val="000000"/>
          <w:kern w:val="0"/>
          <w:sz w:val="30"/>
          <w:szCs w:val="30"/>
        </w:rPr>
        <w:t>****9189</w:t>
      </w:r>
      <w:r w:rsidRPr="00FB587F">
        <w:rPr>
          <w:rFonts w:ascii="楷体" w:eastAsia="楷体" w:hAnsi="楷体" w:cs="宋体" w:hint="eastAsia"/>
          <w:color w:val="000000"/>
          <w:kern w:val="0"/>
          <w:sz w:val="24"/>
          <w:szCs w:val="24"/>
        </w:rPr>
        <w:t>，下挂深圳股东账户012</w:t>
      </w:r>
      <w:r w:rsidRPr="00FB587F">
        <w:rPr>
          <w:rFonts w:ascii="楷体" w:eastAsia="楷体" w:hAnsi="楷体" w:cs="宋体" w:hint="eastAsia"/>
          <w:color w:val="000000"/>
          <w:kern w:val="0"/>
          <w:sz w:val="30"/>
          <w:szCs w:val="30"/>
        </w:rPr>
        <w:t>****686</w:t>
      </w:r>
      <w:r w:rsidRPr="00FB587F">
        <w:rPr>
          <w:rFonts w:ascii="楷体" w:eastAsia="楷体" w:hAnsi="楷体" w:cs="宋体" w:hint="eastAsia"/>
          <w:color w:val="000000"/>
          <w:kern w:val="0"/>
          <w:sz w:val="24"/>
          <w:szCs w:val="24"/>
        </w:rPr>
        <w:t>。</w:t>
      </w:r>
    </w:p>
    <w:p w14:paraId="66F4E043"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账户于2018年2月27日买入“新纶科技”116,000股，成交金额2,748,130元；次日全部卖出，成交金额</w:t>
      </w:r>
      <w:r w:rsidRPr="00FB587F">
        <w:rPr>
          <w:rFonts w:ascii="楷体" w:eastAsia="楷体" w:hAnsi="楷体" w:cs="宋体" w:hint="eastAsia"/>
          <w:color w:val="000000"/>
          <w:kern w:val="0"/>
          <w:sz w:val="30"/>
          <w:szCs w:val="30"/>
        </w:rPr>
        <w:t>2,838,771</w:t>
      </w:r>
      <w:r w:rsidRPr="00FB587F">
        <w:rPr>
          <w:rFonts w:ascii="楷体" w:eastAsia="楷体" w:hAnsi="楷体" w:cs="宋体" w:hint="eastAsia"/>
          <w:color w:val="000000"/>
          <w:kern w:val="0"/>
          <w:sz w:val="24"/>
          <w:szCs w:val="24"/>
        </w:rPr>
        <w:t>元，累计获利85,567.47元。</w:t>
      </w:r>
    </w:p>
    <w:p w14:paraId="5B4C5449" w14:textId="77777777" w:rsidR="00FB587F" w:rsidRPr="00FB587F" w:rsidRDefault="00FB587F" w:rsidP="00FB587F">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587F">
        <w:rPr>
          <w:rFonts w:ascii="楷体" w:eastAsia="楷体" w:hAnsi="楷体" w:cs="宋体" w:hint="eastAsia"/>
          <w:b/>
          <w:bCs/>
          <w:color w:val="000000"/>
          <w:kern w:val="0"/>
          <w:sz w:val="30"/>
          <w:szCs w:val="30"/>
        </w:rPr>
        <w:t>2.</w:t>
      </w:r>
      <w:r w:rsidRPr="00FB587F">
        <w:rPr>
          <w:rFonts w:ascii="楷体" w:eastAsia="楷体" w:hAnsi="楷体" w:cs="宋体" w:hint="eastAsia"/>
          <w:b/>
          <w:bCs/>
          <w:color w:val="000000"/>
          <w:kern w:val="0"/>
          <w:sz w:val="24"/>
          <w:szCs w:val="24"/>
        </w:rPr>
        <w:t>账户交易特征</w:t>
      </w:r>
    </w:p>
    <w:p w14:paraId="1A4A6E95"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lastRenderedPageBreak/>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账户在交易“新纶科技”前4年多无交易，在涉案期间突击转入资金并于</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年2月27日13:20至14:17全部用于申报买入“新纶科技”，次日开盘集合竞价阶段即开始申报卖出，并于</w:t>
      </w:r>
      <w:r w:rsidRPr="00FB587F">
        <w:rPr>
          <w:rFonts w:ascii="楷体" w:eastAsia="楷体" w:hAnsi="楷体" w:cs="宋体" w:hint="eastAsia"/>
          <w:color w:val="000000"/>
          <w:kern w:val="0"/>
          <w:sz w:val="30"/>
          <w:szCs w:val="30"/>
        </w:rPr>
        <w:t>9:25</w:t>
      </w:r>
      <w:r w:rsidRPr="00FB587F">
        <w:rPr>
          <w:rFonts w:ascii="楷体" w:eastAsia="楷体" w:hAnsi="楷体" w:cs="宋体" w:hint="eastAsia"/>
          <w:color w:val="000000"/>
          <w:kern w:val="0"/>
          <w:sz w:val="24"/>
          <w:szCs w:val="24"/>
        </w:rPr>
        <w:t>至9:34全部申报卖出，自此至2018年7月未再交易。该账户单向买入“新纶科技”的意愿强烈，交易动机明确、交易异常。</w:t>
      </w:r>
    </w:p>
    <w:p w14:paraId="3480F97C"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（二）程晓控制使用</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证券账户</w:t>
      </w:r>
    </w:p>
    <w:p w14:paraId="52EFDC18" w14:textId="77777777" w:rsidR="00FB587F" w:rsidRPr="00FB587F" w:rsidRDefault="00FB587F" w:rsidP="00FB587F">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587F">
        <w:rPr>
          <w:rFonts w:ascii="楷体" w:eastAsia="楷体" w:hAnsi="楷体" w:cs="宋体" w:hint="eastAsia"/>
          <w:b/>
          <w:bCs/>
          <w:color w:val="000000"/>
          <w:kern w:val="0"/>
          <w:sz w:val="30"/>
          <w:szCs w:val="30"/>
        </w:rPr>
        <w:t>1.</w:t>
      </w:r>
      <w:r w:rsidRPr="00FB587F">
        <w:rPr>
          <w:rFonts w:ascii="楷体" w:eastAsia="楷体" w:hAnsi="楷体" w:cs="宋体" w:hint="eastAsia"/>
          <w:b/>
          <w:bCs/>
          <w:color w:val="000000"/>
          <w:kern w:val="0"/>
          <w:sz w:val="24"/>
          <w:szCs w:val="24"/>
        </w:rPr>
        <w:t>资金划转情况</w:t>
      </w:r>
    </w:p>
    <w:p w14:paraId="56DB5A96"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证券账户对应三方存管银行账户资金来源及去向均为程晓及其妻杨某。</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年2月26日，“郑某平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三方存管银行账户收到程晓转入275万元，资金来源主要是杨某转入的</w:t>
      </w:r>
      <w:r w:rsidRPr="00FB587F">
        <w:rPr>
          <w:rFonts w:ascii="楷体" w:eastAsia="楷体" w:hAnsi="楷体" w:cs="宋体" w:hint="eastAsia"/>
          <w:color w:val="000000"/>
          <w:kern w:val="0"/>
          <w:sz w:val="30"/>
          <w:szCs w:val="30"/>
        </w:rPr>
        <w:t>237</w:t>
      </w:r>
      <w:r w:rsidRPr="00FB587F">
        <w:rPr>
          <w:rFonts w:ascii="楷体" w:eastAsia="楷体" w:hAnsi="楷体" w:cs="宋体" w:hint="eastAsia"/>
          <w:color w:val="000000"/>
          <w:kern w:val="0"/>
          <w:sz w:val="24"/>
          <w:szCs w:val="24"/>
        </w:rPr>
        <w:t>万元和程晓贷款转入的30万元，次日，该账户将前述资金全部用于买入</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新纶科技”。涉案股票卖出所获283.65万元于3月6日、7日全部转至程晓银行账户，程晓随即将其中250万元转至杨某银行账户、将</w:t>
      </w:r>
      <w:r w:rsidRPr="00FB587F">
        <w:rPr>
          <w:rFonts w:ascii="楷体" w:eastAsia="楷体" w:hAnsi="楷体" w:cs="宋体" w:hint="eastAsia"/>
          <w:color w:val="000000"/>
          <w:kern w:val="0"/>
          <w:sz w:val="30"/>
          <w:szCs w:val="30"/>
        </w:rPr>
        <w:t>30.04</w:t>
      </w:r>
      <w:r w:rsidRPr="00FB587F">
        <w:rPr>
          <w:rFonts w:ascii="楷体" w:eastAsia="楷体" w:hAnsi="楷体" w:cs="宋体" w:hint="eastAsia"/>
          <w:color w:val="000000"/>
          <w:kern w:val="0"/>
          <w:sz w:val="24"/>
          <w:szCs w:val="24"/>
        </w:rPr>
        <w:t>万元用于归还贷款本息。</w:t>
      </w:r>
    </w:p>
    <w:p w14:paraId="382F0C7A" w14:textId="77777777" w:rsidR="00FB587F" w:rsidRPr="00FB587F" w:rsidRDefault="00FB587F" w:rsidP="00FB587F">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587F">
        <w:rPr>
          <w:rFonts w:ascii="楷体" w:eastAsia="楷体" w:hAnsi="楷体" w:cs="宋体" w:hint="eastAsia"/>
          <w:b/>
          <w:bCs/>
          <w:color w:val="000000"/>
          <w:kern w:val="0"/>
          <w:sz w:val="30"/>
          <w:szCs w:val="30"/>
        </w:rPr>
        <w:t>2.</w:t>
      </w:r>
      <w:r w:rsidRPr="00FB587F">
        <w:rPr>
          <w:rFonts w:ascii="楷体" w:eastAsia="楷体" w:hAnsi="楷体" w:cs="宋体" w:hint="eastAsia"/>
          <w:b/>
          <w:bCs/>
          <w:color w:val="000000"/>
          <w:kern w:val="0"/>
          <w:sz w:val="24"/>
          <w:szCs w:val="24"/>
        </w:rPr>
        <w:t>开户预留信息及交易下单情况</w:t>
      </w:r>
    </w:p>
    <w:p w14:paraId="7FFE71F1"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证券账户及对应三方存管银行账户开户预留的联系电话均为程晓的手机号。涉案交易前，该账户自</w:t>
      </w:r>
      <w:r w:rsidRPr="00FB587F">
        <w:rPr>
          <w:rFonts w:ascii="楷体" w:eastAsia="楷体" w:hAnsi="楷体" w:cs="宋体" w:hint="eastAsia"/>
          <w:color w:val="000000"/>
          <w:kern w:val="0"/>
          <w:sz w:val="30"/>
          <w:szCs w:val="30"/>
        </w:rPr>
        <w:t>2013</w:t>
      </w:r>
      <w:r w:rsidRPr="00FB587F">
        <w:rPr>
          <w:rFonts w:ascii="楷体" w:eastAsia="楷体" w:hAnsi="楷体" w:cs="宋体" w:hint="eastAsia"/>
          <w:color w:val="000000"/>
          <w:kern w:val="0"/>
          <w:sz w:val="24"/>
          <w:szCs w:val="24"/>
        </w:rPr>
        <w:t>年3月4日至2018年2月28日有51个交易日进行共432笔委托下单，其中33笔使用归属地为深圳市的手机号码委托下单，其余399笔均为网络委托下单，网络委托所用IP地址绝大部分归属地为程晓日常工作生活所在的深圳市。</w:t>
      </w:r>
    </w:p>
    <w:p w14:paraId="5F6631A5"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涉案交易均为网络委托，</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年2月27日、28日使用同一台电脑下单，下单所用IP地址均归属于深圳市。</w:t>
      </w:r>
    </w:p>
    <w:p w14:paraId="6E8B73F6"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（三）程晓在涉案期间与内幕信息知情人联络接触的情况</w:t>
      </w:r>
    </w:p>
    <w:p w14:paraId="76EC8938"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程晓时为国泰君安证券深圳分公司金融市场部业务经理，自</w:t>
      </w:r>
      <w:r w:rsidRPr="00FB587F">
        <w:rPr>
          <w:rFonts w:ascii="楷体" w:eastAsia="楷体" w:hAnsi="楷体" w:cs="宋体" w:hint="eastAsia"/>
          <w:color w:val="000000"/>
          <w:kern w:val="0"/>
          <w:sz w:val="30"/>
          <w:szCs w:val="30"/>
        </w:rPr>
        <w:t>2016</w:t>
      </w:r>
      <w:r w:rsidRPr="00FB587F">
        <w:rPr>
          <w:rFonts w:ascii="楷体" w:eastAsia="楷体" w:hAnsi="楷体" w:cs="宋体" w:hint="eastAsia"/>
          <w:color w:val="000000"/>
          <w:kern w:val="0"/>
          <w:sz w:val="24"/>
          <w:szCs w:val="24"/>
        </w:rPr>
        <w:t>年开始与新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有业务合作。2017年，程晓</w:t>
      </w:r>
      <w:proofErr w:type="gramStart"/>
      <w:r w:rsidRPr="00FB587F">
        <w:rPr>
          <w:rFonts w:ascii="楷体" w:eastAsia="楷体" w:hAnsi="楷体" w:cs="宋体" w:hint="eastAsia"/>
          <w:color w:val="000000"/>
          <w:kern w:val="0"/>
          <w:sz w:val="24"/>
          <w:szCs w:val="24"/>
        </w:rPr>
        <w:t>多次带国泰</w:t>
      </w:r>
      <w:proofErr w:type="gramEnd"/>
      <w:r w:rsidRPr="00FB587F">
        <w:rPr>
          <w:rFonts w:ascii="楷体" w:eastAsia="楷体" w:hAnsi="楷体" w:cs="宋体" w:hint="eastAsia"/>
          <w:color w:val="000000"/>
          <w:kern w:val="0"/>
          <w:sz w:val="24"/>
          <w:szCs w:val="24"/>
        </w:rPr>
        <w:t>君安证券深圳分公司投行部人员到新</w:t>
      </w:r>
      <w:proofErr w:type="gramStart"/>
      <w:r w:rsidRPr="00FB587F">
        <w:rPr>
          <w:rFonts w:ascii="楷体" w:eastAsia="楷体" w:hAnsi="楷体" w:cs="宋体" w:hint="eastAsia"/>
          <w:color w:val="000000"/>
          <w:kern w:val="0"/>
          <w:sz w:val="24"/>
          <w:szCs w:val="24"/>
        </w:rPr>
        <w:t>纶科技</w:t>
      </w:r>
      <w:proofErr w:type="gramEnd"/>
      <w:r w:rsidRPr="00FB587F">
        <w:rPr>
          <w:rFonts w:ascii="楷体" w:eastAsia="楷体" w:hAnsi="楷体" w:cs="宋体" w:hint="eastAsia"/>
          <w:color w:val="000000"/>
          <w:kern w:val="0"/>
          <w:sz w:val="24"/>
          <w:szCs w:val="24"/>
        </w:rPr>
        <w:t>拜访。2018年1月，程晓曾受高某之</w:t>
      </w:r>
      <w:proofErr w:type="gramStart"/>
      <w:r w:rsidRPr="00FB587F">
        <w:rPr>
          <w:rFonts w:ascii="楷体" w:eastAsia="楷体" w:hAnsi="楷体" w:cs="宋体" w:hint="eastAsia"/>
          <w:color w:val="000000"/>
          <w:kern w:val="0"/>
          <w:sz w:val="24"/>
          <w:szCs w:val="24"/>
        </w:rPr>
        <w:t>托帮助</w:t>
      </w:r>
      <w:proofErr w:type="gramEnd"/>
      <w:r w:rsidRPr="00FB587F">
        <w:rPr>
          <w:rFonts w:ascii="楷体" w:eastAsia="楷体" w:hAnsi="楷体" w:cs="宋体" w:hint="eastAsia"/>
          <w:color w:val="000000"/>
          <w:kern w:val="0"/>
          <w:sz w:val="24"/>
          <w:szCs w:val="24"/>
        </w:rPr>
        <w:t>联系配资账户，后程晓本人出面与资金方签订了配资协议。</w:t>
      </w:r>
    </w:p>
    <w:p w14:paraId="6B591610"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30"/>
          <w:szCs w:val="30"/>
        </w:rPr>
        <w:lastRenderedPageBreak/>
        <w:t>2018</w:t>
      </w:r>
      <w:r w:rsidRPr="00FB587F">
        <w:rPr>
          <w:rFonts w:ascii="楷体" w:eastAsia="楷体" w:hAnsi="楷体" w:cs="宋体" w:hint="eastAsia"/>
          <w:color w:val="000000"/>
          <w:kern w:val="0"/>
          <w:sz w:val="24"/>
          <w:szCs w:val="24"/>
        </w:rPr>
        <w:t>年2月至6月，程晓与高某每月均有通讯联系，程晓在</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年2月24日（周六）、26日至28日与高某均有通话。</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郑某平</w:t>
      </w:r>
      <w:r w:rsidRPr="00FB587F">
        <w:rPr>
          <w:rFonts w:ascii="楷体" w:eastAsia="楷体" w:hAnsi="楷体" w:cs="宋体" w:hint="eastAsia"/>
          <w:color w:val="000000"/>
          <w:kern w:val="0"/>
          <w:sz w:val="30"/>
          <w:szCs w:val="30"/>
        </w:rPr>
        <w:t>”</w:t>
      </w:r>
      <w:r w:rsidRPr="00FB587F">
        <w:rPr>
          <w:rFonts w:ascii="楷体" w:eastAsia="楷体" w:hAnsi="楷体" w:cs="宋体" w:hint="eastAsia"/>
          <w:color w:val="000000"/>
          <w:kern w:val="0"/>
          <w:sz w:val="24"/>
          <w:szCs w:val="24"/>
        </w:rPr>
        <w:t>证券账户于</w:t>
      </w:r>
      <w:r w:rsidRPr="00FB587F">
        <w:rPr>
          <w:rFonts w:ascii="楷体" w:eastAsia="楷体" w:hAnsi="楷体" w:cs="宋体" w:hint="eastAsia"/>
          <w:color w:val="000000"/>
          <w:kern w:val="0"/>
          <w:sz w:val="30"/>
          <w:szCs w:val="30"/>
        </w:rPr>
        <w:t>2018</w:t>
      </w:r>
      <w:r w:rsidRPr="00FB587F">
        <w:rPr>
          <w:rFonts w:ascii="楷体" w:eastAsia="楷体" w:hAnsi="楷体" w:cs="宋体" w:hint="eastAsia"/>
          <w:color w:val="000000"/>
          <w:kern w:val="0"/>
          <w:sz w:val="24"/>
          <w:szCs w:val="24"/>
        </w:rPr>
        <w:t>年2月26日进行银证转账、</w:t>
      </w:r>
      <w:r w:rsidRPr="00FB587F">
        <w:rPr>
          <w:rFonts w:ascii="楷体" w:eastAsia="楷体" w:hAnsi="楷体" w:cs="宋体" w:hint="eastAsia"/>
          <w:color w:val="000000"/>
          <w:kern w:val="0"/>
          <w:sz w:val="30"/>
          <w:szCs w:val="30"/>
        </w:rPr>
        <w:t>27</w:t>
      </w:r>
      <w:r w:rsidRPr="00FB587F">
        <w:rPr>
          <w:rFonts w:ascii="楷体" w:eastAsia="楷体" w:hAnsi="楷体" w:cs="宋体" w:hint="eastAsia"/>
          <w:color w:val="000000"/>
          <w:kern w:val="0"/>
          <w:sz w:val="24"/>
          <w:szCs w:val="24"/>
        </w:rPr>
        <w:t>日买入“新纶科技”。</w:t>
      </w:r>
    </w:p>
    <w:p w14:paraId="53B0533B"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以上事实，有相关询问笔录、通讯记录、账户资料等证据证明，足以认定。</w:t>
      </w:r>
    </w:p>
    <w:p w14:paraId="2E75DC2C"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我会认为，程晓的上述行为违反了</w:t>
      </w:r>
      <w:r w:rsidRPr="00FB587F">
        <w:rPr>
          <w:rFonts w:ascii="楷体" w:eastAsia="楷体" w:hAnsi="楷体" w:cs="宋体" w:hint="eastAsia"/>
          <w:color w:val="000000"/>
          <w:kern w:val="0"/>
          <w:sz w:val="30"/>
          <w:szCs w:val="30"/>
        </w:rPr>
        <w:t>2005</w:t>
      </w:r>
      <w:r w:rsidRPr="00FB587F">
        <w:rPr>
          <w:rFonts w:ascii="楷体" w:eastAsia="楷体" w:hAnsi="楷体" w:cs="宋体" w:hint="eastAsia"/>
          <w:color w:val="000000"/>
          <w:kern w:val="0"/>
          <w:sz w:val="24"/>
          <w:szCs w:val="24"/>
        </w:rPr>
        <w:t>年《证券法》第七十三条和第七十六条第一款的规定，构成2005年《证券法》第二百零二条所述内幕交易行为。</w:t>
      </w:r>
    </w:p>
    <w:p w14:paraId="7A8C4060" w14:textId="77777777" w:rsidR="00FB587F" w:rsidRPr="00FB587F" w:rsidRDefault="00FB587F" w:rsidP="00FB587F">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根据当事人违法行为的事实、性质、情节与社会危害程度，依据</w:t>
      </w:r>
      <w:r w:rsidRPr="00FB587F">
        <w:rPr>
          <w:rFonts w:ascii="楷体" w:eastAsia="楷体" w:hAnsi="楷体" w:cs="宋体" w:hint="eastAsia"/>
          <w:color w:val="000000"/>
          <w:kern w:val="0"/>
          <w:sz w:val="30"/>
          <w:szCs w:val="30"/>
        </w:rPr>
        <w:t>2005</w:t>
      </w:r>
      <w:r w:rsidRPr="00FB587F">
        <w:rPr>
          <w:rFonts w:ascii="楷体" w:eastAsia="楷体" w:hAnsi="楷体" w:cs="宋体" w:hint="eastAsia"/>
          <w:color w:val="000000"/>
          <w:kern w:val="0"/>
          <w:sz w:val="24"/>
          <w:szCs w:val="24"/>
        </w:rPr>
        <w:t>年《证券法》第二百零二条相关规定，我会决定：对程晓没收违法所得85,567.47元，并处以427,837.35元罚款。</w:t>
      </w:r>
    </w:p>
    <w:p w14:paraId="718E8C26" w14:textId="77777777" w:rsidR="00FB587F" w:rsidRPr="00FB587F" w:rsidRDefault="00FB587F" w:rsidP="00FB587F">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上述当事人应自收到本处罚决定书之日起</w:t>
      </w:r>
      <w:r w:rsidRPr="00FB587F">
        <w:rPr>
          <w:rFonts w:ascii="楷体" w:eastAsia="楷体" w:hAnsi="楷体" w:cs="宋体" w:hint="eastAsia"/>
          <w:color w:val="000000"/>
          <w:kern w:val="0"/>
          <w:sz w:val="30"/>
          <w:szCs w:val="30"/>
        </w:rPr>
        <w:t>15</w:t>
      </w:r>
      <w:r w:rsidRPr="00FB587F">
        <w:rPr>
          <w:rFonts w:ascii="楷体" w:eastAsia="楷体" w:hAnsi="楷体" w:cs="宋体" w:hint="eastAsia"/>
          <w:color w:val="000000"/>
          <w:kern w:val="0"/>
          <w:sz w:val="24"/>
          <w:szCs w:val="24"/>
        </w:rPr>
        <w:t>日内，将罚没款汇交中国证券监督管理委员会，开户银行：中信银行北京分行营业部，账号：</w:t>
      </w:r>
      <w:r w:rsidRPr="00FB587F">
        <w:rPr>
          <w:rFonts w:ascii="楷体" w:eastAsia="楷体" w:hAnsi="楷体" w:cs="宋体" w:hint="eastAsia"/>
          <w:color w:val="000000"/>
          <w:kern w:val="0"/>
          <w:sz w:val="30"/>
          <w:szCs w:val="30"/>
        </w:rPr>
        <w:t>7111010189800000162</w:t>
      </w:r>
      <w:r w:rsidRPr="00FB587F">
        <w:rPr>
          <w:rFonts w:ascii="楷体" w:eastAsia="楷体" w:hAnsi="楷体" w:cs="宋体" w:hint="eastAsia"/>
          <w:color w:val="000000"/>
          <w:kern w:val="0"/>
          <w:sz w:val="24"/>
          <w:szCs w:val="24"/>
        </w:rPr>
        <w:t>，由该行直接上缴国库，并将注有当事人名称的付款凭证复印件送到中国证券监督管理委员会稽查局备案。当事人如果对本处罚决定不服，可在收到本处罚决定书之日起</w:t>
      </w:r>
      <w:r w:rsidRPr="00FB587F">
        <w:rPr>
          <w:rFonts w:ascii="楷体" w:eastAsia="楷体" w:hAnsi="楷体" w:cs="宋体" w:hint="eastAsia"/>
          <w:color w:val="000000"/>
          <w:kern w:val="0"/>
          <w:sz w:val="30"/>
          <w:szCs w:val="30"/>
        </w:rPr>
        <w:t>60</w:t>
      </w:r>
      <w:r w:rsidRPr="00FB587F">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04A36F97" w14:textId="77777777" w:rsidR="00FB587F" w:rsidRPr="00FB587F" w:rsidRDefault="00FB587F" w:rsidP="00FB587F">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FB587F">
        <w:rPr>
          <w:rFonts w:ascii="Calibri" w:eastAsia="楷体" w:hAnsi="Calibri" w:cs="Calibri"/>
          <w:color w:val="000000"/>
          <w:kern w:val="0"/>
          <w:sz w:val="24"/>
          <w:szCs w:val="24"/>
        </w:rPr>
        <w:t> </w:t>
      </w:r>
    </w:p>
    <w:p w14:paraId="0CFCA8FC" w14:textId="77777777" w:rsidR="00FB587F" w:rsidRPr="00FB587F" w:rsidRDefault="00FB587F" w:rsidP="00FB587F">
      <w:pPr>
        <w:widowControl/>
        <w:shd w:val="clear" w:color="auto" w:fill="FFFFFF"/>
        <w:wordWrap w:val="0"/>
        <w:spacing w:line="360" w:lineRule="atLeast"/>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 xml:space="preserve">　　　　　　　　　　　　　　　　　　　　　　　　　　　　　　　　　　　　　　　　　　　　　　　　　　　　　　　　　　　　　　　　　　　　　　　　　　　　　　　　　　　　　　　　　　　　　　　　　　　　　　　　　　　　　　　　　　　　　　　　中国证监会</w:t>
      </w:r>
    </w:p>
    <w:p w14:paraId="53EB76B4" w14:textId="77777777" w:rsidR="00FB587F" w:rsidRPr="00FB587F" w:rsidRDefault="00FB587F" w:rsidP="00FB587F">
      <w:pPr>
        <w:widowControl/>
        <w:shd w:val="clear" w:color="auto" w:fill="FFFFFF"/>
        <w:wordWrap w:val="0"/>
        <w:spacing w:line="360" w:lineRule="atLeast"/>
        <w:jc w:val="left"/>
        <w:rPr>
          <w:rFonts w:ascii="楷体" w:eastAsia="楷体" w:hAnsi="楷体" w:cs="宋体" w:hint="eastAsia"/>
          <w:color w:val="000000"/>
          <w:kern w:val="0"/>
          <w:sz w:val="24"/>
          <w:szCs w:val="24"/>
        </w:rPr>
      </w:pPr>
      <w:r w:rsidRPr="00FB587F">
        <w:rPr>
          <w:rFonts w:ascii="楷体" w:eastAsia="楷体" w:hAnsi="楷体" w:cs="宋体" w:hint="eastAsia"/>
          <w:color w:val="000000"/>
          <w:kern w:val="0"/>
          <w:sz w:val="24"/>
          <w:szCs w:val="24"/>
        </w:rPr>
        <w:t xml:space="preserve">　　　　　　　　　　　　　　</w:t>
      </w:r>
      <w:r w:rsidRPr="00FB587F">
        <w:rPr>
          <w:rFonts w:ascii="楷体" w:eastAsia="楷体" w:hAnsi="楷体" w:cs="宋体" w:hint="eastAsia"/>
          <w:color w:val="000000"/>
          <w:kern w:val="0"/>
          <w:sz w:val="30"/>
          <w:szCs w:val="30"/>
        </w:rPr>
        <w:t>2020</w:t>
      </w:r>
      <w:r w:rsidRPr="00FB587F">
        <w:rPr>
          <w:rFonts w:ascii="楷体" w:eastAsia="楷体" w:hAnsi="楷体" w:cs="宋体" w:hint="eastAsia"/>
          <w:color w:val="000000"/>
          <w:kern w:val="0"/>
          <w:sz w:val="24"/>
          <w:szCs w:val="24"/>
        </w:rPr>
        <w:t>年</w:t>
      </w:r>
      <w:r w:rsidRPr="00FB587F">
        <w:rPr>
          <w:rFonts w:ascii="楷体" w:eastAsia="楷体" w:hAnsi="楷体" w:cs="宋体" w:hint="eastAsia"/>
          <w:color w:val="000000"/>
          <w:kern w:val="0"/>
          <w:sz w:val="30"/>
          <w:szCs w:val="30"/>
        </w:rPr>
        <w:t>6</w:t>
      </w:r>
      <w:r w:rsidRPr="00FB587F">
        <w:rPr>
          <w:rFonts w:ascii="楷体" w:eastAsia="楷体" w:hAnsi="楷体" w:cs="宋体" w:hint="eastAsia"/>
          <w:color w:val="000000"/>
          <w:kern w:val="0"/>
          <w:sz w:val="24"/>
          <w:szCs w:val="24"/>
        </w:rPr>
        <w:t>月</w:t>
      </w:r>
      <w:r w:rsidRPr="00FB587F">
        <w:rPr>
          <w:rFonts w:ascii="楷体" w:eastAsia="楷体" w:hAnsi="楷体" w:cs="宋体" w:hint="eastAsia"/>
          <w:color w:val="000000"/>
          <w:kern w:val="0"/>
          <w:sz w:val="30"/>
          <w:szCs w:val="30"/>
        </w:rPr>
        <w:t>12</w:t>
      </w:r>
      <w:r w:rsidRPr="00FB587F">
        <w:rPr>
          <w:rFonts w:ascii="楷体" w:eastAsia="楷体" w:hAnsi="楷体" w:cs="宋体" w:hint="eastAsia"/>
          <w:color w:val="000000"/>
          <w:kern w:val="0"/>
          <w:sz w:val="24"/>
          <w:szCs w:val="24"/>
        </w:rPr>
        <w:t>日</w:t>
      </w:r>
      <w:r w:rsidRPr="00FB587F">
        <w:rPr>
          <w:rFonts w:ascii="Calibri" w:eastAsia="楷体" w:hAnsi="Calibri" w:cs="Calibri"/>
          <w:color w:val="000000"/>
          <w:kern w:val="0"/>
          <w:sz w:val="24"/>
          <w:szCs w:val="24"/>
        </w:rPr>
        <w:t> </w:t>
      </w:r>
    </w:p>
    <w:p w14:paraId="0B35C936" w14:textId="77777777" w:rsidR="00FB587F" w:rsidRPr="00FB587F" w:rsidRDefault="00FB587F" w:rsidP="00FB587F">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587F">
        <w:rPr>
          <w:rFonts w:ascii="Calibri" w:eastAsia="楷体" w:hAnsi="Calibri" w:cs="Calibri"/>
          <w:color w:val="000000"/>
          <w:kern w:val="0"/>
          <w:sz w:val="24"/>
          <w:szCs w:val="24"/>
        </w:rPr>
        <w:t> </w:t>
      </w:r>
    </w:p>
    <w:p w14:paraId="3DAB171D"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69630" w14:textId="77777777" w:rsidR="00F15D41" w:rsidRDefault="00F15D41" w:rsidP="00423C40">
      <w:pPr>
        <w:rPr>
          <w:rFonts w:hint="eastAsia"/>
        </w:rPr>
      </w:pPr>
      <w:r>
        <w:separator/>
      </w:r>
    </w:p>
  </w:endnote>
  <w:endnote w:type="continuationSeparator" w:id="0">
    <w:p w14:paraId="0D5083FB" w14:textId="77777777" w:rsidR="00F15D41" w:rsidRDefault="00F15D41" w:rsidP="00423C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05A5C" w14:textId="77777777" w:rsidR="00F15D41" w:rsidRDefault="00F15D41" w:rsidP="00423C40">
      <w:pPr>
        <w:rPr>
          <w:rFonts w:hint="eastAsia"/>
        </w:rPr>
      </w:pPr>
      <w:r>
        <w:separator/>
      </w:r>
    </w:p>
  </w:footnote>
  <w:footnote w:type="continuationSeparator" w:id="0">
    <w:p w14:paraId="1DCE6C25" w14:textId="77777777" w:rsidR="00F15D41" w:rsidRDefault="00F15D41" w:rsidP="00423C4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7F"/>
    <w:rsid w:val="00423C40"/>
    <w:rsid w:val="00BE43C3"/>
    <w:rsid w:val="00E476AF"/>
    <w:rsid w:val="00F15D41"/>
    <w:rsid w:val="00FB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D113D"/>
  <w15:chartTrackingRefBased/>
  <w15:docId w15:val="{3F3C198D-0EFE-4865-976E-C752910B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58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587F"/>
    <w:rPr>
      <w:b/>
      <w:bCs/>
    </w:rPr>
  </w:style>
  <w:style w:type="paragraph" w:styleId="a5">
    <w:name w:val="header"/>
    <w:basedOn w:val="a"/>
    <w:link w:val="a6"/>
    <w:uiPriority w:val="99"/>
    <w:unhideWhenUsed/>
    <w:rsid w:val="00423C40"/>
    <w:pPr>
      <w:tabs>
        <w:tab w:val="center" w:pos="4153"/>
        <w:tab w:val="right" w:pos="8306"/>
      </w:tabs>
      <w:snapToGrid w:val="0"/>
      <w:jc w:val="center"/>
    </w:pPr>
    <w:rPr>
      <w:sz w:val="18"/>
      <w:szCs w:val="18"/>
    </w:rPr>
  </w:style>
  <w:style w:type="character" w:customStyle="1" w:styleId="a6">
    <w:name w:val="页眉 字符"/>
    <w:basedOn w:val="a0"/>
    <w:link w:val="a5"/>
    <w:uiPriority w:val="99"/>
    <w:rsid w:val="00423C40"/>
    <w:rPr>
      <w:sz w:val="18"/>
      <w:szCs w:val="18"/>
    </w:rPr>
  </w:style>
  <w:style w:type="paragraph" w:styleId="a7">
    <w:name w:val="footer"/>
    <w:basedOn w:val="a"/>
    <w:link w:val="a8"/>
    <w:uiPriority w:val="99"/>
    <w:unhideWhenUsed/>
    <w:rsid w:val="00423C40"/>
    <w:pPr>
      <w:tabs>
        <w:tab w:val="center" w:pos="4153"/>
        <w:tab w:val="right" w:pos="8306"/>
      </w:tabs>
      <w:snapToGrid w:val="0"/>
      <w:jc w:val="left"/>
    </w:pPr>
    <w:rPr>
      <w:sz w:val="18"/>
      <w:szCs w:val="18"/>
    </w:rPr>
  </w:style>
  <w:style w:type="character" w:customStyle="1" w:styleId="a8">
    <w:name w:val="页脚 字符"/>
    <w:basedOn w:val="a0"/>
    <w:link w:val="a7"/>
    <w:uiPriority w:val="99"/>
    <w:rsid w:val="00423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864406">
      <w:bodyDiv w:val="1"/>
      <w:marLeft w:val="0"/>
      <w:marRight w:val="0"/>
      <w:marTop w:val="0"/>
      <w:marBottom w:val="0"/>
      <w:divBdr>
        <w:top w:val="none" w:sz="0" w:space="0" w:color="auto"/>
        <w:left w:val="none" w:sz="0" w:space="0" w:color="auto"/>
        <w:bottom w:val="none" w:sz="0" w:space="0" w:color="auto"/>
        <w:right w:val="none" w:sz="0" w:space="0" w:color="auto"/>
      </w:divBdr>
      <w:divsChild>
        <w:div w:id="1301152455">
          <w:marLeft w:val="0"/>
          <w:marRight w:val="0"/>
          <w:marTop w:val="150"/>
          <w:marBottom w:val="150"/>
          <w:divBdr>
            <w:top w:val="none" w:sz="0" w:space="0" w:color="auto"/>
            <w:left w:val="none" w:sz="0" w:space="0" w:color="auto"/>
            <w:bottom w:val="none" w:sz="0" w:space="0" w:color="auto"/>
            <w:right w:val="none" w:sz="0" w:space="0" w:color="auto"/>
          </w:divBdr>
        </w:div>
        <w:div w:id="1217625063">
          <w:marLeft w:val="0"/>
          <w:marRight w:val="0"/>
          <w:marTop w:val="0"/>
          <w:marBottom w:val="0"/>
          <w:divBdr>
            <w:top w:val="single" w:sz="6" w:space="8" w:color="B5B5B5"/>
            <w:left w:val="single" w:sz="6" w:space="0" w:color="B5B5B5"/>
            <w:bottom w:val="single" w:sz="6" w:space="8" w:color="B5B5B5"/>
            <w:right w:val="single" w:sz="6" w:space="0" w:color="B5B5B5"/>
          </w:divBdr>
          <w:divsChild>
            <w:div w:id="207767389">
              <w:marLeft w:val="0"/>
              <w:marRight w:val="0"/>
              <w:marTop w:val="0"/>
              <w:marBottom w:val="0"/>
              <w:divBdr>
                <w:top w:val="none" w:sz="0" w:space="0" w:color="auto"/>
                <w:left w:val="none" w:sz="0" w:space="0" w:color="auto"/>
                <w:bottom w:val="none" w:sz="0" w:space="0" w:color="auto"/>
                <w:right w:val="none" w:sz="0" w:space="0" w:color="auto"/>
              </w:divBdr>
            </w:div>
            <w:div w:id="14952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2021-12-08T07:30:00Z</dcterms:created>
  <dcterms:modified xsi:type="dcterms:W3CDTF">2024-12-15T14:08:00Z</dcterms:modified>
</cp:coreProperties>
</file>