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6B4F7E" w:rsidRPr="006B4F7E" w14:paraId="298F44FA" w14:textId="77777777" w:rsidTr="006B4F7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B4F7E" w:rsidRPr="006B4F7E" w14:paraId="730EB8C0" w14:textId="77777777">
              <w:trPr>
                <w:tblCellSpacing w:w="0" w:type="dxa"/>
              </w:trPr>
              <w:tc>
                <w:tcPr>
                  <w:tcW w:w="2500" w:type="pct"/>
                  <w:tcMar>
                    <w:top w:w="30" w:type="dxa"/>
                    <w:left w:w="30" w:type="dxa"/>
                    <w:bottom w:w="30" w:type="dxa"/>
                    <w:right w:w="30" w:type="dxa"/>
                  </w:tcMar>
                  <w:hideMark/>
                </w:tcPr>
                <w:p w14:paraId="3C20E391" w14:textId="619294FA" w:rsidR="006B4F7E" w:rsidRPr="006B4F7E" w:rsidRDefault="006B4F7E" w:rsidP="006B4F7E">
                  <w:pPr>
                    <w:widowControl/>
                    <w:jc w:val="left"/>
                    <w:rPr>
                      <w:rFonts w:ascii="宋体" w:eastAsia="宋体" w:hAnsi="宋体" w:cs="宋体" w:hint="eastAsia"/>
                      <w:color w:val="686868"/>
                      <w:kern w:val="0"/>
                      <w:sz w:val="18"/>
                      <w:szCs w:val="18"/>
                    </w:rPr>
                  </w:pPr>
                  <w:r w:rsidRPr="006B4F7E">
                    <w:rPr>
                      <w:rFonts w:ascii="宋体" w:eastAsia="宋体" w:hAnsi="宋体" w:cs="宋体"/>
                      <w:b/>
                      <w:bCs/>
                      <w:color w:val="686868"/>
                      <w:kern w:val="0"/>
                      <w:sz w:val="18"/>
                      <w:szCs w:val="18"/>
                    </w:rPr>
                    <w:t>索 引 号:</w:t>
                  </w:r>
                  <w:r w:rsidR="004D045C">
                    <w:rPr>
                      <w:rFonts w:ascii="宋体" w:eastAsia="宋体" w:hAnsi="宋体" w:cs="宋体" w:hint="eastAsia"/>
                      <w:b/>
                      <w:bCs/>
                      <w:color w:val="686868"/>
                      <w:kern w:val="0"/>
                      <w:sz w:val="18"/>
                      <w:szCs w:val="18"/>
                    </w:rPr>
                    <w:t xml:space="preserve"> </w:t>
                  </w:r>
                  <w:r w:rsidR="004D045C" w:rsidRPr="004D045C">
                    <w:rPr>
                      <w:rFonts w:ascii="宋体" w:eastAsia="宋体" w:hAnsi="宋体" w:cs="宋体" w:hint="eastAsia"/>
                      <w:color w:val="686868"/>
                      <w:kern w:val="0"/>
                      <w:sz w:val="18"/>
                      <w:szCs w:val="18"/>
                    </w:rPr>
                    <w:t>bm56000001/2021-00223585</w:t>
                  </w:r>
                </w:p>
              </w:tc>
              <w:tc>
                <w:tcPr>
                  <w:tcW w:w="0" w:type="auto"/>
                  <w:tcMar>
                    <w:top w:w="30" w:type="dxa"/>
                    <w:left w:w="30" w:type="dxa"/>
                    <w:bottom w:w="30" w:type="dxa"/>
                    <w:right w:w="30" w:type="dxa"/>
                  </w:tcMar>
                  <w:hideMark/>
                </w:tcPr>
                <w:p w14:paraId="54C70B70" w14:textId="77777777" w:rsidR="006B4F7E" w:rsidRPr="006B4F7E" w:rsidRDefault="006B4F7E" w:rsidP="006B4F7E">
                  <w:pPr>
                    <w:widowControl/>
                    <w:jc w:val="left"/>
                    <w:rPr>
                      <w:rFonts w:ascii="宋体" w:eastAsia="宋体" w:hAnsi="宋体" w:cs="宋体" w:hint="eastAsia"/>
                      <w:color w:val="686868"/>
                      <w:kern w:val="0"/>
                      <w:sz w:val="18"/>
                      <w:szCs w:val="18"/>
                    </w:rPr>
                  </w:pPr>
                  <w:r w:rsidRPr="006B4F7E">
                    <w:rPr>
                      <w:rFonts w:ascii="宋体" w:eastAsia="宋体" w:hAnsi="宋体" w:cs="宋体"/>
                      <w:b/>
                      <w:bCs/>
                      <w:color w:val="686868"/>
                      <w:kern w:val="0"/>
                      <w:sz w:val="18"/>
                      <w:szCs w:val="18"/>
                    </w:rPr>
                    <w:t>分类:</w:t>
                  </w:r>
                  <w:r w:rsidRPr="006B4F7E">
                    <w:rPr>
                      <w:rFonts w:ascii="宋体" w:eastAsia="宋体" w:hAnsi="宋体" w:cs="宋体"/>
                      <w:color w:val="686868"/>
                      <w:kern w:val="0"/>
                      <w:sz w:val="18"/>
                      <w:szCs w:val="18"/>
                    </w:rPr>
                    <w:t> 行政处罚 ; 行政处罚决定</w:t>
                  </w:r>
                </w:p>
              </w:tc>
            </w:tr>
          </w:tbl>
          <w:p w14:paraId="16D2A1A0" w14:textId="77777777" w:rsidR="006B4F7E" w:rsidRPr="006B4F7E" w:rsidRDefault="006B4F7E" w:rsidP="006B4F7E">
            <w:pPr>
              <w:widowControl/>
              <w:jc w:val="left"/>
              <w:rPr>
                <w:rFonts w:ascii="宋体" w:eastAsia="宋体" w:hAnsi="宋体" w:cs="宋体" w:hint="eastAsia"/>
                <w:color w:val="686868"/>
                <w:kern w:val="0"/>
                <w:sz w:val="18"/>
                <w:szCs w:val="18"/>
              </w:rPr>
            </w:pPr>
          </w:p>
        </w:tc>
      </w:tr>
      <w:tr w:rsidR="006B4F7E" w:rsidRPr="006B4F7E" w14:paraId="03BDE689" w14:textId="77777777" w:rsidTr="006B4F7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B4F7E" w:rsidRPr="006B4F7E" w14:paraId="5D1DA80E" w14:textId="77777777">
              <w:trPr>
                <w:tblCellSpacing w:w="0" w:type="dxa"/>
              </w:trPr>
              <w:tc>
                <w:tcPr>
                  <w:tcW w:w="2500" w:type="pct"/>
                  <w:tcMar>
                    <w:top w:w="30" w:type="dxa"/>
                    <w:left w:w="30" w:type="dxa"/>
                    <w:bottom w:w="30" w:type="dxa"/>
                    <w:right w:w="30" w:type="dxa"/>
                  </w:tcMar>
                  <w:hideMark/>
                </w:tcPr>
                <w:p w14:paraId="7855FA17" w14:textId="77777777" w:rsidR="006B4F7E" w:rsidRPr="006B4F7E" w:rsidRDefault="006B4F7E" w:rsidP="006B4F7E">
                  <w:pPr>
                    <w:widowControl/>
                    <w:jc w:val="left"/>
                    <w:rPr>
                      <w:rFonts w:ascii="宋体" w:eastAsia="宋体" w:hAnsi="宋体" w:cs="宋体" w:hint="eastAsia"/>
                      <w:color w:val="686868"/>
                      <w:kern w:val="0"/>
                      <w:sz w:val="18"/>
                      <w:szCs w:val="18"/>
                    </w:rPr>
                  </w:pPr>
                  <w:r w:rsidRPr="006B4F7E">
                    <w:rPr>
                      <w:rFonts w:ascii="宋体" w:eastAsia="宋体" w:hAnsi="宋体" w:cs="宋体"/>
                      <w:b/>
                      <w:bCs/>
                      <w:color w:val="686868"/>
                      <w:kern w:val="0"/>
                      <w:sz w:val="18"/>
                      <w:szCs w:val="18"/>
                    </w:rPr>
                    <w:t>发布机构:</w:t>
                  </w:r>
                  <w:r w:rsidRPr="006B4F7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15684B4E" w14:textId="77777777" w:rsidR="006B4F7E" w:rsidRPr="006B4F7E" w:rsidRDefault="006B4F7E" w:rsidP="006B4F7E">
                  <w:pPr>
                    <w:widowControl/>
                    <w:jc w:val="left"/>
                    <w:rPr>
                      <w:rFonts w:ascii="宋体" w:eastAsia="宋体" w:hAnsi="宋体" w:cs="宋体" w:hint="eastAsia"/>
                      <w:color w:val="686868"/>
                      <w:kern w:val="0"/>
                      <w:sz w:val="18"/>
                      <w:szCs w:val="18"/>
                    </w:rPr>
                  </w:pPr>
                  <w:r w:rsidRPr="006B4F7E">
                    <w:rPr>
                      <w:rFonts w:ascii="宋体" w:eastAsia="宋体" w:hAnsi="宋体" w:cs="宋体"/>
                      <w:b/>
                      <w:bCs/>
                      <w:color w:val="686868"/>
                      <w:kern w:val="0"/>
                      <w:sz w:val="18"/>
                      <w:szCs w:val="18"/>
                    </w:rPr>
                    <w:t>发文日期:</w:t>
                  </w:r>
                  <w:r w:rsidRPr="006B4F7E">
                    <w:rPr>
                      <w:rFonts w:ascii="宋体" w:eastAsia="宋体" w:hAnsi="宋体" w:cs="宋体"/>
                      <w:color w:val="686868"/>
                      <w:kern w:val="0"/>
                      <w:sz w:val="18"/>
                      <w:szCs w:val="18"/>
                    </w:rPr>
                    <w:t> 2021年06月16日</w:t>
                  </w:r>
                </w:p>
              </w:tc>
            </w:tr>
          </w:tbl>
          <w:p w14:paraId="55C50E2E" w14:textId="77777777" w:rsidR="006B4F7E" w:rsidRPr="006B4F7E" w:rsidRDefault="006B4F7E" w:rsidP="006B4F7E">
            <w:pPr>
              <w:widowControl/>
              <w:jc w:val="left"/>
              <w:rPr>
                <w:rFonts w:ascii="宋体" w:eastAsia="宋体" w:hAnsi="宋体" w:cs="宋体" w:hint="eastAsia"/>
                <w:color w:val="686868"/>
                <w:kern w:val="0"/>
                <w:sz w:val="18"/>
                <w:szCs w:val="18"/>
              </w:rPr>
            </w:pPr>
          </w:p>
        </w:tc>
      </w:tr>
      <w:tr w:rsidR="006B4F7E" w:rsidRPr="006B4F7E" w14:paraId="2402CE58" w14:textId="77777777" w:rsidTr="006B4F7E">
        <w:trPr>
          <w:tblCellSpacing w:w="0" w:type="dxa"/>
          <w:jc w:val="center"/>
        </w:trPr>
        <w:tc>
          <w:tcPr>
            <w:tcW w:w="0" w:type="auto"/>
            <w:tcMar>
              <w:top w:w="30" w:type="dxa"/>
              <w:left w:w="30" w:type="dxa"/>
              <w:bottom w:w="30" w:type="dxa"/>
              <w:right w:w="30" w:type="dxa"/>
            </w:tcMar>
            <w:hideMark/>
          </w:tcPr>
          <w:p w14:paraId="2741D7DC" w14:textId="77777777" w:rsidR="006B4F7E" w:rsidRPr="006B4F7E" w:rsidRDefault="006B4F7E" w:rsidP="006B4F7E">
            <w:pPr>
              <w:widowControl/>
              <w:jc w:val="left"/>
              <w:rPr>
                <w:rFonts w:ascii="宋体" w:eastAsia="宋体" w:hAnsi="宋体" w:cs="宋体" w:hint="eastAsia"/>
                <w:color w:val="686868"/>
                <w:kern w:val="0"/>
                <w:sz w:val="18"/>
                <w:szCs w:val="18"/>
              </w:rPr>
            </w:pPr>
            <w:r w:rsidRPr="006B4F7E">
              <w:rPr>
                <w:rFonts w:ascii="宋体" w:eastAsia="宋体" w:hAnsi="宋体" w:cs="宋体"/>
                <w:b/>
                <w:bCs/>
                <w:color w:val="686868"/>
                <w:kern w:val="0"/>
                <w:sz w:val="18"/>
                <w:szCs w:val="18"/>
              </w:rPr>
              <w:t>名　　称:</w:t>
            </w:r>
            <w:r w:rsidRPr="006B4F7E">
              <w:rPr>
                <w:rFonts w:ascii="宋体" w:eastAsia="宋体" w:hAnsi="宋体" w:cs="宋体"/>
                <w:color w:val="686868"/>
                <w:kern w:val="0"/>
                <w:sz w:val="18"/>
                <w:szCs w:val="18"/>
              </w:rPr>
              <w:t> 中国证监会行政处罚决定书（陈莉娟）</w:t>
            </w:r>
          </w:p>
        </w:tc>
      </w:tr>
      <w:tr w:rsidR="006B4F7E" w:rsidRPr="006B4F7E" w14:paraId="774C3D84" w14:textId="77777777" w:rsidTr="006B4F7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6B4F7E" w:rsidRPr="006B4F7E" w14:paraId="60E60115" w14:textId="77777777">
              <w:trPr>
                <w:tblCellSpacing w:w="0" w:type="dxa"/>
              </w:trPr>
              <w:tc>
                <w:tcPr>
                  <w:tcW w:w="2500" w:type="pct"/>
                  <w:tcMar>
                    <w:top w:w="30" w:type="dxa"/>
                    <w:left w:w="30" w:type="dxa"/>
                    <w:bottom w:w="30" w:type="dxa"/>
                    <w:right w:w="30" w:type="dxa"/>
                  </w:tcMar>
                  <w:hideMark/>
                </w:tcPr>
                <w:p w14:paraId="1AB2BB05" w14:textId="77777777" w:rsidR="006B4F7E" w:rsidRPr="006B4F7E" w:rsidRDefault="006B4F7E" w:rsidP="006B4F7E">
                  <w:pPr>
                    <w:widowControl/>
                    <w:jc w:val="left"/>
                    <w:rPr>
                      <w:rFonts w:ascii="宋体" w:eastAsia="宋体" w:hAnsi="宋体" w:cs="宋体" w:hint="eastAsia"/>
                      <w:color w:val="686868"/>
                      <w:kern w:val="0"/>
                      <w:sz w:val="18"/>
                      <w:szCs w:val="18"/>
                    </w:rPr>
                  </w:pPr>
                  <w:r w:rsidRPr="006B4F7E">
                    <w:rPr>
                      <w:rFonts w:ascii="宋体" w:eastAsia="宋体" w:hAnsi="宋体" w:cs="宋体"/>
                      <w:b/>
                      <w:bCs/>
                      <w:color w:val="686868"/>
                      <w:kern w:val="0"/>
                      <w:sz w:val="18"/>
                      <w:szCs w:val="18"/>
                    </w:rPr>
                    <w:t>文　　号:</w:t>
                  </w:r>
                  <w:r w:rsidRPr="006B4F7E">
                    <w:rPr>
                      <w:rFonts w:ascii="宋体" w:eastAsia="宋体" w:hAnsi="宋体" w:cs="宋体"/>
                      <w:color w:val="686868"/>
                      <w:kern w:val="0"/>
                      <w:sz w:val="18"/>
                      <w:szCs w:val="18"/>
                    </w:rPr>
                    <w:t> 〔2021〕46号</w:t>
                  </w:r>
                </w:p>
              </w:tc>
              <w:tc>
                <w:tcPr>
                  <w:tcW w:w="0" w:type="auto"/>
                  <w:tcMar>
                    <w:top w:w="30" w:type="dxa"/>
                    <w:left w:w="30" w:type="dxa"/>
                    <w:bottom w:w="30" w:type="dxa"/>
                    <w:right w:w="30" w:type="dxa"/>
                  </w:tcMar>
                  <w:hideMark/>
                </w:tcPr>
                <w:p w14:paraId="55BD795E" w14:textId="77777777" w:rsidR="006B4F7E" w:rsidRPr="006B4F7E" w:rsidRDefault="006B4F7E" w:rsidP="006B4F7E">
                  <w:pPr>
                    <w:widowControl/>
                    <w:jc w:val="left"/>
                    <w:rPr>
                      <w:rFonts w:ascii="宋体" w:eastAsia="宋体" w:hAnsi="宋体" w:cs="宋体" w:hint="eastAsia"/>
                      <w:color w:val="686868"/>
                      <w:kern w:val="0"/>
                      <w:sz w:val="18"/>
                      <w:szCs w:val="18"/>
                    </w:rPr>
                  </w:pPr>
                  <w:r w:rsidRPr="006B4F7E">
                    <w:rPr>
                      <w:rFonts w:ascii="宋体" w:eastAsia="宋体" w:hAnsi="宋体" w:cs="宋体"/>
                      <w:b/>
                      <w:bCs/>
                      <w:color w:val="686868"/>
                      <w:kern w:val="0"/>
                      <w:sz w:val="18"/>
                      <w:szCs w:val="18"/>
                    </w:rPr>
                    <w:t>主 题 词:</w:t>
                  </w:r>
                </w:p>
              </w:tc>
            </w:tr>
          </w:tbl>
          <w:p w14:paraId="72C47F15" w14:textId="77777777" w:rsidR="006B4F7E" w:rsidRPr="006B4F7E" w:rsidRDefault="006B4F7E" w:rsidP="006B4F7E">
            <w:pPr>
              <w:widowControl/>
              <w:jc w:val="left"/>
              <w:rPr>
                <w:rFonts w:ascii="宋体" w:eastAsia="宋体" w:hAnsi="宋体" w:cs="宋体" w:hint="eastAsia"/>
                <w:color w:val="686868"/>
                <w:kern w:val="0"/>
                <w:sz w:val="18"/>
                <w:szCs w:val="18"/>
              </w:rPr>
            </w:pPr>
          </w:p>
        </w:tc>
      </w:tr>
    </w:tbl>
    <w:p w14:paraId="42E0D894" w14:textId="77777777" w:rsidR="006B4F7E" w:rsidRPr="006B4F7E" w:rsidRDefault="00000000" w:rsidP="006B4F7E">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4549D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46E187B2" w14:textId="77777777" w:rsidR="006B4F7E" w:rsidRPr="006B4F7E" w:rsidRDefault="006B4F7E" w:rsidP="006B4F7E">
      <w:pPr>
        <w:widowControl/>
        <w:shd w:val="clear" w:color="auto" w:fill="FFFFFF"/>
        <w:spacing w:after="240"/>
        <w:jc w:val="center"/>
        <w:rPr>
          <w:rFonts w:ascii="微软雅黑" w:eastAsia="微软雅黑" w:hAnsi="微软雅黑" w:cs="宋体" w:hint="eastAsia"/>
          <w:color w:val="000000"/>
          <w:kern w:val="0"/>
          <w:sz w:val="18"/>
          <w:szCs w:val="18"/>
        </w:rPr>
      </w:pPr>
      <w:r w:rsidRPr="006B4F7E">
        <w:rPr>
          <w:rFonts w:ascii="微软雅黑" w:eastAsia="微软雅黑" w:hAnsi="微软雅黑" w:cs="宋体" w:hint="eastAsia"/>
          <w:color w:val="000000"/>
          <w:kern w:val="0"/>
          <w:sz w:val="18"/>
          <w:szCs w:val="18"/>
        </w:rPr>
        <w:br/>
      </w:r>
      <w:r w:rsidRPr="006B4F7E">
        <w:rPr>
          <w:rFonts w:ascii="黑体" w:eastAsia="黑体" w:hAnsi="黑体" w:cs="宋体" w:hint="eastAsia"/>
          <w:b/>
          <w:bCs/>
          <w:color w:val="FF0000"/>
          <w:kern w:val="0"/>
          <w:sz w:val="36"/>
          <w:szCs w:val="36"/>
        </w:rPr>
        <w:t>中国证监会行政处罚决定书（陈莉娟）</w:t>
      </w:r>
    </w:p>
    <w:p w14:paraId="551FA103" w14:textId="77777777" w:rsidR="006B4F7E" w:rsidRPr="006B4F7E" w:rsidRDefault="006B4F7E" w:rsidP="006B4F7E">
      <w:pPr>
        <w:widowControl/>
        <w:shd w:val="clear" w:color="auto" w:fill="FFFFFF"/>
        <w:wordWrap w:val="0"/>
        <w:spacing w:line="600" w:lineRule="atLeast"/>
        <w:jc w:val="center"/>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〔2021〕46号</w:t>
      </w:r>
    </w:p>
    <w:p w14:paraId="3970D8C4" w14:textId="77777777" w:rsidR="006B4F7E" w:rsidRPr="006B4F7E" w:rsidRDefault="006B4F7E" w:rsidP="006B4F7E">
      <w:pPr>
        <w:widowControl/>
        <w:shd w:val="clear" w:color="auto" w:fill="FFFFFF"/>
        <w:wordWrap w:val="0"/>
        <w:spacing w:line="560" w:lineRule="atLeast"/>
        <w:jc w:val="left"/>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 xml:space="preserve">　　　当事人：陈莉娟，女，1990年10月出生，住址：广东省广州市天河区。</w:t>
      </w:r>
    </w:p>
    <w:p w14:paraId="3938A787" w14:textId="77777777" w:rsidR="006B4F7E" w:rsidRPr="006B4F7E" w:rsidRDefault="006B4F7E" w:rsidP="006B4F7E">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依据2005年修订的《中华人民共和国证券法》（以下简称2005年《证券法》）的有关规定，我会对陈莉娟内幕交易珠海市乐通化工股份有限公司（以下简称乐通股份）股票行为进行了立案调查、审理，并依法向当事人告知了</w:t>
      </w:r>
      <w:proofErr w:type="gramStart"/>
      <w:r w:rsidRPr="006B4F7E">
        <w:rPr>
          <w:rFonts w:ascii="楷体" w:eastAsia="楷体" w:hAnsi="楷体" w:cs="宋体" w:hint="eastAsia"/>
          <w:color w:val="000000"/>
          <w:kern w:val="0"/>
          <w:szCs w:val="21"/>
        </w:rPr>
        <w:t>作出</w:t>
      </w:r>
      <w:proofErr w:type="gramEnd"/>
      <w:r w:rsidRPr="006B4F7E">
        <w:rPr>
          <w:rFonts w:ascii="楷体" w:eastAsia="楷体" w:hAnsi="楷体" w:cs="宋体" w:hint="eastAsia"/>
          <w:color w:val="000000"/>
          <w:kern w:val="0"/>
          <w:szCs w:val="21"/>
        </w:rPr>
        <w:t>行政处罚的事实、理由、依据及当事人依法享有的权利。当事人陈莉娟提交了陈述申辩意见，未申请听证。我会复核了当事人提交的申辩意见。本案现已调查、审理终结。</w:t>
      </w:r>
    </w:p>
    <w:p w14:paraId="4D7FB518" w14:textId="77777777" w:rsidR="006B4F7E" w:rsidRPr="006B4F7E" w:rsidRDefault="006B4F7E" w:rsidP="006B4F7E">
      <w:pPr>
        <w:widowControl/>
        <w:shd w:val="clear" w:color="auto" w:fill="FFFFFF"/>
        <w:wordWrap w:val="0"/>
        <w:spacing w:line="520" w:lineRule="atLeast"/>
        <w:ind w:firstLine="616"/>
        <w:jc w:val="left"/>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经查明，陈莉娟存在以下违法事实：</w:t>
      </w:r>
    </w:p>
    <w:p w14:paraId="37532566" w14:textId="77777777" w:rsidR="006B4F7E" w:rsidRPr="006B4F7E" w:rsidRDefault="006B4F7E" w:rsidP="006B4F7E">
      <w:pPr>
        <w:widowControl/>
        <w:shd w:val="clear" w:color="auto" w:fill="FFFFFF"/>
        <w:wordWrap w:val="0"/>
        <w:spacing w:line="5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一、内幕信息的形成与公开过程</w:t>
      </w:r>
    </w:p>
    <w:p w14:paraId="0BCE7F11" w14:textId="77777777" w:rsidR="006B4F7E" w:rsidRPr="006B4F7E" w:rsidRDefault="006B4F7E" w:rsidP="006B4F7E">
      <w:pPr>
        <w:widowControl/>
        <w:shd w:val="clear" w:color="auto" w:fill="FFFFFF"/>
        <w:wordWrap w:val="0"/>
        <w:spacing w:line="5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（一）武汉中</w:t>
      </w:r>
      <w:proofErr w:type="gramStart"/>
      <w:r w:rsidRPr="006B4F7E">
        <w:rPr>
          <w:rFonts w:ascii="楷体" w:eastAsia="楷体" w:hAnsi="楷体" w:cs="宋体" w:hint="eastAsia"/>
          <w:color w:val="000000"/>
          <w:kern w:val="0"/>
          <w:szCs w:val="21"/>
        </w:rPr>
        <w:t>科信维信息技术</w:t>
      </w:r>
      <w:proofErr w:type="gramEnd"/>
      <w:r w:rsidRPr="006B4F7E">
        <w:rPr>
          <w:rFonts w:ascii="楷体" w:eastAsia="楷体" w:hAnsi="楷体" w:cs="宋体" w:hint="eastAsia"/>
          <w:color w:val="000000"/>
          <w:kern w:val="0"/>
          <w:szCs w:val="21"/>
        </w:rPr>
        <w:t>有限公司（以下简称中科信维）筹划、决策、实施跨境收购Precision</w:t>
      </w:r>
      <w:r w:rsidRPr="006B4F7E">
        <w:rPr>
          <w:rFonts w:ascii="Calibri" w:eastAsia="楷体" w:hAnsi="Calibri" w:cs="Calibri"/>
          <w:color w:val="000000"/>
          <w:kern w:val="0"/>
          <w:szCs w:val="21"/>
        </w:rPr>
        <w:t> </w:t>
      </w:r>
      <w:r w:rsidRPr="006B4F7E">
        <w:rPr>
          <w:rFonts w:ascii="楷体" w:eastAsia="楷体" w:hAnsi="楷体" w:cs="宋体" w:hint="eastAsia"/>
          <w:color w:val="000000"/>
          <w:kern w:val="0"/>
          <w:szCs w:val="21"/>
        </w:rPr>
        <w:t>Capital</w:t>
      </w:r>
      <w:r w:rsidRPr="006B4F7E">
        <w:rPr>
          <w:rFonts w:ascii="Calibri" w:eastAsia="楷体" w:hAnsi="Calibri" w:cs="Calibri"/>
          <w:color w:val="000000"/>
          <w:kern w:val="0"/>
          <w:szCs w:val="21"/>
        </w:rPr>
        <w:t> </w:t>
      </w:r>
      <w:r w:rsidRPr="006B4F7E">
        <w:rPr>
          <w:rFonts w:ascii="楷体" w:eastAsia="楷体" w:hAnsi="楷体" w:cs="宋体" w:hint="eastAsia"/>
          <w:color w:val="000000"/>
          <w:kern w:val="0"/>
          <w:szCs w:val="21"/>
        </w:rPr>
        <w:t>Pte.</w:t>
      </w:r>
      <w:r w:rsidRPr="006B4F7E">
        <w:rPr>
          <w:rFonts w:ascii="Calibri" w:eastAsia="楷体" w:hAnsi="Calibri" w:cs="Calibri"/>
          <w:color w:val="000000"/>
          <w:kern w:val="0"/>
          <w:szCs w:val="21"/>
        </w:rPr>
        <w:t> </w:t>
      </w:r>
      <w:r w:rsidRPr="006B4F7E">
        <w:rPr>
          <w:rFonts w:ascii="楷体" w:eastAsia="楷体" w:hAnsi="楷体" w:cs="宋体" w:hint="eastAsia"/>
          <w:color w:val="000000"/>
          <w:kern w:val="0"/>
          <w:szCs w:val="21"/>
        </w:rPr>
        <w:t>Ltd（以下简称PCPL）</w:t>
      </w:r>
    </w:p>
    <w:p w14:paraId="0BED6DD2"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2017年初，中</w:t>
      </w:r>
      <w:proofErr w:type="gramStart"/>
      <w:r w:rsidRPr="006B4F7E">
        <w:rPr>
          <w:rFonts w:ascii="楷体" w:eastAsia="楷体" w:hAnsi="楷体" w:cs="宋体" w:hint="eastAsia"/>
          <w:color w:val="000000"/>
          <w:kern w:val="0"/>
          <w:szCs w:val="21"/>
        </w:rPr>
        <w:t>科信维董事长</w:t>
      </w:r>
      <w:proofErr w:type="gramEnd"/>
      <w:r w:rsidRPr="006B4F7E">
        <w:rPr>
          <w:rFonts w:ascii="楷体" w:eastAsia="楷体" w:hAnsi="楷体" w:cs="宋体" w:hint="eastAsia"/>
          <w:color w:val="000000"/>
          <w:kern w:val="0"/>
          <w:szCs w:val="21"/>
        </w:rPr>
        <w:t>赵某、深圳赛伯乐股权投资管理有限公司董事长曾某拟合</w:t>
      </w:r>
      <w:proofErr w:type="gramStart"/>
      <w:r w:rsidRPr="006B4F7E">
        <w:rPr>
          <w:rFonts w:ascii="楷体" w:eastAsia="楷体" w:hAnsi="楷体" w:cs="宋体" w:hint="eastAsia"/>
          <w:color w:val="000000"/>
          <w:kern w:val="0"/>
          <w:szCs w:val="21"/>
        </w:rPr>
        <w:t>作收购</w:t>
      </w:r>
      <w:proofErr w:type="gramEnd"/>
      <w:r w:rsidRPr="006B4F7E">
        <w:rPr>
          <w:rFonts w:ascii="楷体" w:eastAsia="楷体" w:hAnsi="楷体" w:cs="宋体" w:hint="eastAsia"/>
          <w:color w:val="000000"/>
          <w:kern w:val="0"/>
          <w:szCs w:val="21"/>
        </w:rPr>
        <w:t>PCPL并寻找境内上市公司进行出售。2017年7月，赵某和曾某选择中科</w:t>
      </w:r>
      <w:proofErr w:type="gramStart"/>
      <w:r w:rsidRPr="006B4F7E">
        <w:rPr>
          <w:rFonts w:ascii="楷体" w:eastAsia="楷体" w:hAnsi="楷体" w:cs="宋体" w:hint="eastAsia"/>
          <w:color w:val="000000"/>
          <w:kern w:val="0"/>
          <w:szCs w:val="21"/>
        </w:rPr>
        <w:t>信维作为</w:t>
      </w:r>
      <w:proofErr w:type="gramEnd"/>
      <w:r w:rsidRPr="006B4F7E">
        <w:rPr>
          <w:rFonts w:ascii="楷体" w:eastAsia="楷体" w:hAnsi="楷体" w:cs="宋体" w:hint="eastAsia"/>
          <w:color w:val="000000"/>
          <w:kern w:val="0"/>
          <w:szCs w:val="21"/>
        </w:rPr>
        <w:t>收购PCPL的股权平台，并对中科</w:t>
      </w:r>
      <w:proofErr w:type="gramStart"/>
      <w:r w:rsidRPr="006B4F7E">
        <w:rPr>
          <w:rFonts w:ascii="楷体" w:eastAsia="楷体" w:hAnsi="楷体" w:cs="宋体" w:hint="eastAsia"/>
          <w:color w:val="000000"/>
          <w:kern w:val="0"/>
          <w:szCs w:val="21"/>
        </w:rPr>
        <w:t>信维进行</w:t>
      </w:r>
      <w:proofErr w:type="gramEnd"/>
      <w:r w:rsidRPr="006B4F7E">
        <w:rPr>
          <w:rFonts w:ascii="楷体" w:eastAsia="楷体" w:hAnsi="楷体" w:cs="宋体" w:hint="eastAsia"/>
          <w:color w:val="000000"/>
          <w:kern w:val="0"/>
          <w:szCs w:val="21"/>
        </w:rPr>
        <w:t>了股权重组。</w:t>
      </w:r>
    </w:p>
    <w:p w14:paraId="2E9ABF12"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2018年1月以后，中科</w:t>
      </w:r>
      <w:proofErr w:type="gramStart"/>
      <w:r w:rsidRPr="006B4F7E">
        <w:rPr>
          <w:rFonts w:ascii="楷体" w:eastAsia="楷体" w:hAnsi="楷体" w:cs="宋体" w:hint="eastAsia"/>
          <w:color w:val="000000"/>
          <w:kern w:val="0"/>
          <w:szCs w:val="21"/>
        </w:rPr>
        <w:t>信维就</w:t>
      </w:r>
      <w:proofErr w:type="gramEnd"/>
      <w:r w:rsidRPr="006B4F7E">
        <w:rPr>
          <w:rFonts w:ascii="楷体" w:eastAsia="楷体" w:hAnsi="楷体" w:cs="宋体" w:hint="eastAsia"/>
          <w:color w:val="000000"/>
          <w:kern w:val="0"/>
          <w:szCs w:val="21"/>
        </w:rPr>
        <w:t>收购PCPL开启谈判。2018年6月，就收购相关事项达成一致并进入协议起草、签署阶段。2018年7月18日，中</w:t>
      </w:r>
      <w:proofErr w:type="gramStart"/>
      <w:r w:rsidRPr="006B4F7E">
        <w:rPr>
          <w:rFonts w:ascii="楷体" w:eastAsia="楷体" w:hAnsi="楷体" w:cs="宋体" w:hint="eastAsia"/>
          <w:color w:val="000000"/>
          <w:kern w:val="0"/>
          <w:szCs w:val="21"/>
        </w:rPr>
        <w:t>科信维与</w:t>
      </w:r>
      <w:proofErr w:type="gramEnd"/>
      <w:r w:rsidRPr="006B4F7E">
        <w:rPr>
          <w:rFonts w:ascii="楷体" w:eastAsia="楷体" w:hAnsi="楷体" w:cs="宋体" w:hint="eastAsia"/>
          <w:color w:val="000000"/>
          <w:kern w:val="0"/>
          <w:szCs w:val="21"/>
        </w:rPr>
        <w:t>PCPL股东MMI</w:t>
      </w:r>
      <w:r w:rsidRPr="006B4F7E">
        <w:rPr>
          <w:rFonts w:ascii="Calibri" w:eastAsia="楷体" w:hAnsi="Calibri" w:cs="Calibri"/>
          <w:color w:val="000000"/>
          <w:kern w:val="0"/>
          <w:szCs w:val="21"/>
        </w:rPr>
        <w:t> </w:t>
      </w:r>
      <w:r w:rsidRPr="006B4F7E">
        <w:rPr>
          <w:rFonts w:ascii="楷体" w:eastAsia="楷体" w:hAnsi="楷体" w:cs="宋体" w:hint="eastAsia"/>
          <w:color w:val="000000"/>
          <w:kern w:val="0"/>
          <w:szCs w:val="21"/>
        </w:rPr>
        <w:t>Technologies</w:t>
      </w:r>
      <w:r w:rsidRPr="006B4F7E">
        <w:rPr>
          <w:rFonts w:ascii="Calibri" w:eastAsia="楷体" w:hAnsi="Calibri" w:cs="Calibri"/>
          <w:color w:val="000000"/>
          <w:kern w:val="0"/>
          <w:szCs w:val="21"/>
        </w:rPr>
        <w:t> </w:t>
      </w:r>
      <w:r w:rsidRPr="006B4F7E">
        <w:rPr>
          <w:rFonts w:ascii="楷体" w:eastAsia="楷体" w:hAnsi="楷体" w:cs="宋体" w:hint="eastAsia"/>
          <w:color w:val="000000"/>
          <w:kern w:val="0"/>
          <w:szCs w:val="21"/>
        </w:rPr>
        <w:t>Pte.</w:t>
      </w:r>
      <w:r w:rsidRPr="006B4F7E">
        <w:rPr>
          <w:rFonts w:ascii="Calibri" w:eastAsia="楷体" w:hAnsi="Calibri" w:cs="Calibri"/>
          <w:color w:val="000000"/>
          <w:kern w:val="0"/>
          <w:szCs w:val="21"/>
        </w:rPr>
        <w:t> </w:t>
      </w:r>
      <w:r w:rsidRPr="006B4F7E">
        <w:rPr>
          <w:rFonts w:ascii="楷体" w:eastAsia="楷体" w:hAnsi="楷体" w:cs="宋体" w:hint="eastAsia"/>
          <w:color w:val="000000"/>
          <w:kern w:val="0"/>
          <w:szCs w:val="21"/>
        </w:rPr>
        <w:t>Ltd（以下简称MTPL）正式签署《股份购买协议》。</w:t>
      </w:r>
    </w:p>
    <w:p w14:paraId="01A0EEB5"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（二）赵某与乐通股份实际控制人周某科筹划乐通股份收购中</w:t>
      </w:r>
      <w:proofErr w:type="gramStart"/>
      <w:r w:rsidRPr="006B4F7E">
        <w:rPr>
          <w:rFonts w:ascii="楷体" w:eastAsia="楷体" w:hAnsi="楷体" w:cs="宋体" w:hint="eastAsia"/>
          <w:color w:val="000000"/>
          <w:kern w:val="0"/>
          <w:szCs w:val="21"/>
        </w:rPr>
        <w:t>科信维</w:t>
      </w:r>
      <w:proofErr w:type="gramEnd"/>
      <w:r w:rsidRPr="006B4F7E">
        <w:rPr>
          <w:rFonts w:ascii="楷体" w:eastAsia="楷体" w:hAnsi="楷体" w:cs="宋体" w:hint="eastAsia"/>
          <w:color w:val="000000"/>
          <w:kern w:val="0"/>
          <w:szCs w:val="21"/>
        </w:rPr>
        <w:t>100%股权</w:t>
      </w:r>
    </w:p>
    <w:p w14:paraId="15F24F14"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lastRenderedPageBreak/>
        <w:t>2018年1月，在商业活动中，周某科认识赵某。2018年4、5月，赵某向周某科透露了中</w:t>
      </w:r>
      <w:proofErr w:type="gramStart"/>
      <w:r w:rsidRPr="006B4F7E">
        <w:rPr>
          <w:rFonts w:ascii="楷体" w:eastAsia="楷体" w:hAnsi="楷体" w:cs="宋体" w:hint="eastAsia"/>
          <w:color w:val="000000"/>
          <w:kern w:val="0"/>
          <w:szCs w:val="21"/>
        </w:rPr>
        <w:t>科信维正在</w:t>
      </w:r>
      <w:proofErr w:type="gramEnd"/>
      <w:r w:rsidRPr="006B4F7E">
        <w:rPr>
          <w:rFonts w:ascii="楷体" w:eastAsia="楷体" w:hAnsi="楷体" w:cs="宋体" w:hint="eastAsia"/>
          <w:color w:val="000000"/>
          <w:kern w:val="0"/>
          <w:szCs w:val="21"/>
        </w:rPr>
        <w:t>谈判收购PCPL100%股权的事宜，并向周某科简要介绍了PCPL的基本情况。周某科对此产生兴趣，并与赵某探讨关于中科</w:t>
      </w:r>
      <w:proofErr w:type="gramStart"/>
      <w:r w:rsidRPr="006B4F7E">
        <w:rPr>
          <w:rFonts w:ascii="楷体" w:eastAsia="楷体" w:hAnsi="楷体" w:cs="宋体" w:hint="eastAsia"/>
          <w:color w:val="000000"/>
          <w:kern w:val="0"/>
          <w:szCs w:val="21"/>
        </w:rPr>
        <w:t>信维收购</w:t>
      </w:r>
      <w:proofErr w:type="gramEnd"/>
      <w:r w:rsidRPr="006B4F7E">
        <w:rPr>
          <w:rFonts w:ascii="楷体" w:eastAsia="楷体" w:hAnsi="楷体" w:cs="宋体" w:hint="eastAsia"/>
          <w:color w:val="000000"/>
          <w:kern w:val="0"/>
          <w:szCs w:val="21"/>
        </w:rPr>
        <w:t>PCPL成功后选择乐通股份实现资本退出的可能性。</w:t>
      </w:r>
    </w:p>
    <w:p w14:paraId="0BD06406"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此后每个月，周某科都会询问赵某中科</w:t>
      </w:r>
      <w:proofErr w:type="gramStart"/>
      <w:r w:rsidRPr="006B4F7E">
        <w:rPr>
          <w:rFonts w:ascii="楷体" w:eastAsia="楷体" w:hAnsi="楷体" w:cs="宋体" w:hint="eastAsia"/>
          <w:color w:val="000000"/>
          <w:kern w:val="0"/>
          <w:szCs w:val="21"/>
        </w:rPr>
        <w:t>信维收购</w:t>
      </w:r>
      <w:proofErr w:type="gramEnd"/>
      <w:r w:rsidRPr="006B4F7E">
        <w:rPr>
          <w:rFonts w:ascii="楷体" w:eastAsia="楷体" w:hAnsi="楷体" w:cs="宋体" w:hint="eastAsia"/>
          <w:color w:val="000000"/>
          <w:kern w:val="0"/>
          <w:szCs w:val="21"/>
        </w:rPr>
        <w:t>PCPL以及中科</w:t>
      </w:r>
      <w:proofErr w:type="gramStart"/>
      <w:r w:rsidRPr="006B4F7E">
        <w:rPr>
          <w:rFonts w:ascii="楷体" w:eastAsia="楷体" w:hAnsi="楷体" w:cs="宋体" w:hint="eastAsia"/>
          <w:color w:val="000000"/>
          <w:kern w:val="0"/>
          <w:szCs w:val="21"/>
        </w:rPr>
        <w:t>信维寻找</w:t>
      </w:r>
      <w:proofErr w:type="gramEnd"/>
      <w:r w:rsidRPr="006B4F7E">
        <w:rPr>
          <w:rFonts w:ascii="楷体" w:eastAsia="楷体" w:hAnsi="楷体" w:cs="宋体" w:hint="eastAsia"/>
          <w:color w:val="000000"/>
          <w:kern w:val="0"/>
          <w:szCs w:val="21"/>
        </w:rPr>
        <w:t>国内上市公司的进展情况，赵某将谈判进程、内容、是否签署协议等信息及时告知周某科。</w:t>
      </w:r>
    </w:p>
    <w:p w14:paraId="5499EA2C"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2018年6月份，赵某告知周某科中科</w:t>
      </w:r>
      <w:proofErr w:type="gramStart"/>
      <w:r w:rsidRPr="006B4F7E">
        <w:rPr>
          <w:rFonts w:ascii="楷体" w:eastAsia="楷体" w:hAnsi="楷体" w:cs="宋体" w:hint="eastAsia"/>
          <w:color w:val="000000"/>
          <w:kern w:val="0"/>
          <w:szCs w:val="21"/>
        </w:rPr>
        <w:t>信维收购</w:t>
      </w:r>
      <w:proofErr w:type="gramEnd"/>
      <w:r w:rsidRPr="006B4F7E">
        <w:rPr>
          <w:rFonts w:ascii="楷体" w:eastAsia="楷体" w:hAnsi="楷体" w:cs="宋体" w:hint="eastAsia"/>
          <w:color w:val="000000"/>
          <w:kern w:val="0"/>
          <w:szCs w:val="21"/>
        </w:rPr>
        <w:t>PCPL事项已经谈妥且进入签署相关协议阶段。周某科表示希望待中科</w:t>
      </w:r>
      <w:proofErr w:type="gramStart"/>
      <w:r w:rsidRPr="006B4F7E">
        <w:rPr>
          <w:rFonts w:ascii="楷体" w:eastAsia="楷体" w:hAnsi="楷体" w:cs="宋体" w:hint="eastAsia"/>
          <w:color w:val="000000"/>
          <w:kern w:val="0"/>
          <w:szCs w:val="21"/>
        </w:rPr>
        <w:t>信维收购</w:t>
      </w:r>
      <w:proofErr w:type="gramEnd"/>
      <w:r w:rsidRPr="006B4F7E">
        <w:rPr>
          <w:rFonts w:ascii="楷体" w:eastAsia="楷体" w:hAnsi="楷体" w:cs="宋体" w:hint="eastAsia"/>
          <w:color w:val="000000"/>
          <w:kern w:val="0"/>
          <w:szCs w:val="21"/>
        </w:rPr>
        <w:t>PCPL成功后，由乐通股份收购中科信维。赵某表示会把乐通股份置于备选名单中。双方就乐通股份收购中</w:t>
      </w:r>
      <w:proofErr w:type="gramStart"/>
      <w:r w:rsidRPr="006B4F7E">
        <w:rPr>
          <w:rFonts w:ascii="楷体" w:eastAsia="楷体" w:hAnsi="楷体" w:cs="宋体" w:hint="eastAsia"/>
          <w:color w:val="000000"/>
          <w:kern w:val="0"/>
          <w:szCs w:val="21"/>
        </w:rPr>
        <w:t>科信维一事</w:t>
      </w:r>
      <w:proofErr w:type="gramEnd"/>
      <w:r w:rsidRPr="006B4F7E">
        <w:rPr>
          <w:rFonts w:ascii="楷体" w:eastAsia="楷体" w:hAnsi="楷体" w:cs="宋体" w:hint="eastAsia"/>
          <w:color w:val="000000"/>
          <w:kern w:val="0"/>
          <w:szCs w:val="21"/>
        </w:rPr>
        <w:t>继续保持沟通。</w:t>
      </w:r>
    </w:p>
    <w:p w14:paraId="2FB96DB8"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2018年7月18</w:t>
      </w:r>
      <w:proofErr w:type="gramStart"/>
      <w:r w:rsidRPr="006B4F7E">
        <w:rPr>
          <w:rFonts w:ascii="楷体" w:eastAsia="楷体" w:hAnsi="楷体" w:cs="宋体" w:hint="eastAsia"/>
          <w:color w:val="000000"/>
          <w:kern w:val="0"/>
          <w:szCs w:val="21"/>
        </w:rPr>
        <w:t>日中科信维</w:t>
      </w:r>
      <w:proofErr w:type="gramEnd"/>
      <w:r w:rsidRPr="006B4F7E">
        <w:rPr>
          <w:rFonts w:ascii="楷体" w:eastAsia="楷体" w:hAnsi="楷体" w:cs="宋体" w:hint="eastAsia"/>
          <w:color w:val="000000"/>
          <w:kern w:val="0"/>
          <w:szCs w:val="21"/>
        </w:rPr>
        <w:t>与MTPL正式签署《股份购买协议》后，赵某委托中天国富证券有限公司（以下简称中天国富）启动筛选上市公司实现资本退出的工作，并推荐了乐通股份。</w:t>
      </w:r>
    </w:p>
    <w:p w14:paraId="77B2F1D3"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2018年8月7日，中天国</w:t>
      </w:r>
      <w:proofErr w:type="gramStart"/>
      <w:r w:rsidRPr="006B4F7E">
        <w:rPr>
          <w:rFonts w:ascii="楷体" w:eastAsia="楷体" w:hAnsi="楷体" w:cs="宋体" w:hint="eastAsia"/>
          <w:color w:val="000000"/>
          <w:kern w:val="0"/>
          <w:szCs w:val="21"/>
        </w:rPr>
        <w:t>富根据</w:t>
      </w:r>
      <w:proofErr w:type="gramEnd"/>
      <w:r w:rsidRPr="006B4F7E">
        <w:rPr>
          <w:rFonts w:ascii="楷体" w:eastAsia="楷体" w:hAnsi="楷体" w:cs="宋体" w:hint="eastAsia"/>
          <w:color w:val="000000"/>
          <w:kern w:val="0"/>
          <w:szCs w:val="21"/>
        </w:rPr>
        <w:t>中</w:t>
      </w:r>
      <w:proofErr w:type="gramStart"/>
      <w:r w:rsidRPr="006B4F7E">
        <w:rPr>
          <w:rFonts w:ascii="楷体" w:eastAsia="楷体" w:hAnsi="楷体" w:cs="宋体" w:hint="eastAsia"/>
          <w:color w:val="000000"/>
          <w:kern w:val="0"/>
          <w:szCs w:val="21"/>
        </w:rPr>
        <w:t>科信维的</w:t>
      </w:r>
      <w:proofErr w:type="gramEnd"/>
      <w:r w:rsidRPr="006B4F7E">
        <w:rPr>
          <w:rFonts w:ascii="楷体" w:eastAsia="楷体" w:hAnsi="楷体" w:cs="宋体" w:hint="eastAsia"/>
          <w:color w:val="000000"/>
          <w:kern w:val="0"/>
          <w:szCs w:val="21"/>
        </w:rPr>
        <w:t>要求筛选出包括乐通股份在内的10家上市公司。2018年8月15日上午，乐通股份、中科信维、中天国富相关人员在深圳见面商谈，达成了乐通股份与中科</w:t>
      </w:r>
      <w:proofErr w:type="gramStart"/>
      <w:r w:rsidRPr="006B4F7E">
        <w:rPr>
          <w:rFonts w:ascii="楷体" w:eastAsia="楷体" w:hAnsi="楷体" w:cs="宋体" w:hint="eastAsia"/>
          <w:color w:val="000000"/>
          <w:kern w:val="0"/>
          <w:szCs w:val="21"/>
        </w:rPr>
        <w:t>信维资产</w:t>
      </w:r>
      <w:proofErr w:type="gramEnd"/>
      <w:r w:rsidRPr="006B4F7E">
        <w:rPr>
          <w:rFonts w:ascii="楷体" w:eastAsia="楷体" w:hAnsi="楷体" w:cs="宋体" w:hint="eastAsia"/>
          <w:color w:val="000000"/>
          <w:kern w:val="0"/>
          <w:szCs w:val="21"/>
        </w:rPr>
        <w:t>重组的合作意向。这次会面以后，中天国</w:t>
      </w:r>
      <w:proofErr w:type="gramStart"/>
      <w:r w:rsidRPr="006B4F7E">
        <w:rPr>
          <w:rFonts w:ascii="楷体" w:eastAsia="楷体" w:hAnsi="楷体" w:cs="宋体" w:hint="eastAsia"/>
          <w:color w:val="000000"/>
          <w:kern w:val="0"/>
          <w:szCs w:val="21"/>
        </w:rPr>
        <w:t>富项目</w:t>
      </w:r>
      <w:proofErr w:type="gramEnd"/>
      <w:r w:rsidRPr="006B4F7E">
        <w:rPr>
          <w:rFonts w:ascii="楷体" w:eastAsia="楷体" w:hAnsi="楷体" w:cs="宋体" w:hint="eastAsia"/>
          <w:color w:val="000000"/>
          <w:kern w:val="0"/>
          <w:szCs w:val="21"/>
        </w:rPr>
        <w:t>组开始了并购重组的材料准备工作。</w:t>
      </w:r>
    </w:p>
    <w:p w14:paraId="26F41E85"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2018年8月16日，双方正式签署《保密协议》。</w:t>
      </w:r>
    </w:p>
    <w:p w14:paraId="7E439952"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2018年9月7日，乐通股份召开了董事会、监事会审议通过收购中科</w:t>
      </w:r>
      <w:proofErr w:type="gramStart"/>
      <w:r w:rsidRPr="006B4F7E">
        <w:rPr>
          <w:rFonts w:ascii="楷体" w:eastAsia="楷体" w:hAnsi="楷体" w:cs="宋体" w:hint="eastAsia"/>
          <w:color w:val="000000"/>
          <w:kern w:val="0"/>
          <w:szCs w:val="21"/>
        </w:rPr>
        <w:t>信维相关</w:t>
      </w:r>
      <w:proofErr w:type="gramEnd"/>
      <w:r w:rsidRPr="006B4F7E">
        <w:rPr>
          <w:rFonts w:ascii="楷体" w:eastAsia="楷体" w:hAnsi="楷体" w:cs="宋体" w:hint="eastAsia"/>
          <w:color w:val="000000"/>
          <w:kern w:val="0"/>
          <w:szCs w:val="21"/>
        </w:rPr>
        <w:t>事项，并于当日收市后向深交所申请停牌。</w:t>
      </w:r>
    </w:p>
    <w:p w14:paraId="025DEA29"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2018年9月9日，乐通股份披露《发行股份及支付现金购买资产并募集配套资金暨关联交易预案》，称拟发行股份及支付现金购买中</w:t>
      </w:r>
      <w:proofErr w:type="gramStart"/>
      <w:r w:rsidRPr="006B4F7E">
        <w:rPr>
          <w:rFonts w:ascii="楷体" w:eastAsia="楷体" w:hAnsi="楷体" w:cs="宋体" w:hint="eastAsia"/>
          <w:color w:val="000000"/>
          <w:kern w:val="0"/>
          <w:szCs w:val="21"/>
        </w:rPr>
        <w:t>科信维</w:t>
      </w:r>
      <w:proofErr w:type="gramEnd"/>
      <w:r w:rsidRPr="006B4F7E">
        <w:rPr>
          <w:rFonts w:ascii="楷体" w:eastAsia="楷体" w:hAnsi="楷体" w:cs="宋体" w:hint="eastAsia"/>
          <w:color w:val="000000"/>
          <w:kern w:val="0"/>
          <w:szCs w:val="21"/>
        </w:rPr>
        <w:t>100%股权，初步作价24亿元，并拟向不超过10</w:t>
      </w:r>
      <w:proofErr w:type="gramStart"/>
      <w:r w:rsidRPr="006B4F7E">
        <w:rPr>
          <w:rFonts w:ascii="楷体" w:eastAsia="楷体" w:hAnsi="楷体" w:cs="宋体" w:hint="eastAsia"/>
          <w:color w:val="000000"/>
          <w:kern w:val="0"/>
          <w:szCs w:val="21"/>
        </w:rPr>
        <w:t>名特定</w:t>
      </w:r>
      <w:proofErr w:type="gramEnd"/>
      <w:r w:rsidRPr="006B4F7E">
        <w:rPr>
          <w:rFonts w:ascii="楷体" w:eastAsia="楷体" w:hAnsi="楷体" w:cs="宋体" w:hint="eastAsia"/>
          <w:color w:val="000000"/>
          <w:kern w:val="0"/>
          <w:szCs w:val="21"/>
        </w:rPr>
        <w:t>投资者非公开发行股份募集配套资金不超过9.5亿元。</w:t>
      </w:r>
    </w:p>
    <w:p w14:paraId="67ECD4AC"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lastRenderedPageBreak/>
        <w:t>综上，乐通股份筹划收购中</w:t>
      </w:r>
      <w:proofErr w:type="gramStart"/>
      <w:r w:rsidRPr="006B4F7E">
        <w:rPr>
          <w:rFonts w:ascii="楷体" w:eastAsia="楷体" w:hAnsi="楷体" w:cs="宋体" w:hint="eastAsia"/>
          <w:color w:val="000000"/>
          <w:kern w:val="0"/>
          <w:szCs w:val="21"/>
        </w:rPr>
        <w:t>科信维</w:t>
      </w:r>
      <w:proofErr w:type="gramEnd"/>
      <w:r w:rsidRPr="006B4F7E">
        <w:rPr>
          <w:rFonts w:ascii="楷体" w:eastAsia="楷体" w:hAnsi="楷体" w:cs="宋体" w:hint="eastAsia"/>
          <w:color w:val="000000"/>
          <w:kern w:val="0"/>
          <w:szCs w:val="21"/>
        </w:rPr>
        <w:t>100%股权属于《上市公司重大资产重组管理办法》第十二条第一款规定的重大资产重组，系2005年《证券法》第六十七条第二款第二项规定的重大事件。在2018年9月8日乐通股份的股票停牌前，“乐通股份筹划收购中科信维100%股权”的信息仅限于公司内部及并购重组参与方等少数人知悉，具有未公开性，属于2005年《证券法》第七十五条第二款第一项规定的内幕信息。内幕信息敏感期为不晚于2018年7月18日，终止于2018年9月8日。周某科等人为内幕信息知情人。</w:t>
      </w:r>
    </w:p>
    <w:p w14:paraId="03A7CA05" w14:textId="77777777" w:rsidR="006B4F7E" w:rsidRPr="006B4F7E" w:rsidRDefault="006B4F7E" w:rsidP="006B4F7E">
      <w:pPr>
        <w:widowControl/>
        <w:shd w:val="clear" w:color="auto" w:fill="FFFFFF"/>
        <w:wordWrap w:val="0"/>
        <w:spacing w:line="620" w:lineRule="atLeast"/>
        <w:ind w:firstLine="616"/>
        <w:jc w:val="left"/>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二、陈莉娟在内幕信息敏感期内使用本人账户交易“乐通股份”</w:t>
      </w:r>
    </w:p>
    <w:p w14:paraId="56FDCBC6"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2018年8月29日至2018年9月3日，“陈莉娟”账户买入4笔共计238,000股，成交金额3,967,810元。复牌后全部卖出，累计亏损637,586.82元。</w:t>
      </w:r>
    </w:p>
    <w:p w14:paraId="617F6057"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（一）“陈莉娟”账户基本情况及资金来源</w:t>
      </w:r>
    </w:p>
    <w:p w14:paraId="6E9FDBA5" w14:textId="77777777" w:rsidR="006B4F7E" w:rsidRPr="006B4F7E" w:rsidRDefault="006B4F7E" w:rsidP="006B4F7E">
      <w:pPr>
        <w:widowControl/>
        <w:shd w:val="clear" w:color="auto" w:fill="FFFFFF"/>
        <w:wordWrap w:val="0"/>
        <w:spacing w:line="620" w:lineRule="atLeast"/>
        <w:ind w:firstLine="616"/>
        <w:jc w:val="left"/>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“陈莉娟”账户于2017年3月2日开立于长江证券成都光华村街证券营业部，资金账号51××××69，下挂上海股东账户A76××××498和深圳股东账户017××××239。</w:t>
      </w:r>
    </w:p>
    <w:p w14:paraId="05BA3451" w14:textId="77777777" w:rsidR="006B4F7E" w:rsidRPr="006B4F7E" w:rsidRDefault="006B4F7E" w:rsidP="006B4F7E">
      <w:pPr>
        <w:widowControl/>
        <w:shd w:val="clear" w:color="auto" w:fill="FFFFFF"/>
        <w:wordWrap w:val="0"/>
        <w:spacing w:line="620" w:lineRule="atLeast"/>
        <w:ind w:firstLine="616"/>
        <w:jc w:val="left"/>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“陈莉娟”账户资金于8月29日至9月3日由含陈莉娟本人等9人银行账户陆续累计转入377万元，均为陈莉娟投资获取的收益、自有资金，全部用于交易“乐通股份”。</w:t>
      </w:r>
    </w:p>
    <w:p w14:paraId="5375C624"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（二）“陈莉娟”账户交易异常</w:t>
      </w:r>
    </w:p>
    <w:p w14:paraId="683F2E30" w14:textId="77777777" w:rsidR="006B4F7E" w:rsidRPr="006B4F7E" w:rsidRDefault="006B4F7E" w:rsidP="006B4F7E">
      <w:pPr>
        <w:widowControl/>
        <w:shd w:val="clear" w:color="auto" w:fill="FFFFFF"/>
        <w:wordWrap w:val="0"/>
        <w:spacing w:line="620" w:lineRule="atLeast"/>
        <w:ind w:firstLine="616"/>
        <w:jc w:val="left"/>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第一，该账户资金转入和交易“乐通股份”的时间与其和内幕信息知情人周某科接触的时间吻合。第二，该账户存在多方筹集资金购买股票的行为。第三，该账户长期空置后，新转入资金大量买入“乐通股份”，且在交易“乐通股份”期间没有其他交易行为。</w:t>
      </w:r>
    </w:p>
    <w:p w14:paraId="5ADBE2D8"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（三）陈莉娟控制其本人账户</w:t>
      </w:r>
    </w:p>
    <w:p w14:paraId="409A5887" w14:textId="77777777" w:rsidR="006B4F7E" w:rsidRPr="006B4F7E" w:rsidRDefault="006B4F7E" w:rsidP="006B4F7E">
      <w:pPr>
        <w:widowControl/>
        <w:shd w:val="clear" w:color="auto" w:fill="FFFFFF"/>
        <w:wordWrap w:val="0"/>
        <w:spacing w:line="620" w:lineRule="atLeast"/>
        <w:ind w:firstLine="616"/>
        <w:jc w:val="left"/>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“陈莉娟”账户交易“乐通股份”全部使用自己的手机下单。</w:t>
      </w:r>
    </w:p>
    <w:p w14:paraId="7C4307A2"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（四）陈丽娟知悉内幕信息情况</w:t>
      </w:r>
    </w:p>
    <w:p w14:paraId="3288D4D4" w14:textId="77777777" w:rsidR="006B4F7E" w:rsidRPr="006B4F7E" w:rsidRDefault="006B4F7E" w:rsidP="006B4F7E">
      <w:pPr>
        <w:widowControl/>
        <w:shd w:val="clear" w:color="auto" w:fill="FFFFFF"/>
        <w:wordWrap w:val="0"/>
        <w:spacing w:line="620" w:lineRule="atLeast"/>
        <w:ind w:firstLine="616"/>
        <w:jc w:val="left"/>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lastRenderedPageBreak/>
        <w:t>一是从与内幕信息知情人接触情况看，陈莉娟因工作原因，于2018年8月27日拜访周某科。二是从笔录看，陈莉娟承认其知悉“乐通股份”9月份可能会停牌。</w:t>
      </w:r>
    </w:p>
    <w:p w14:paraId="46598FF9" w14:textId="77777777" w:rsidR="006B4F7E" w:rsidRPr="006B4F7E" w:rsidRDefault="006B4F7E" w:rsidP="006B4F7E">
      <w:pPr>
        <w:widowControl/>
        <w:shd w:val="clear" w:color="auto" w:fill="FFFFFF"/>
        <w:wordWrap w:val="0"/>
        <w:spacing w:line="620" w:lineRule="atLeast"/>
        <w:ind w:firstLine="616"/>
        <w:jc w:val="left"/>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上述违法事实，有相关情况说明、重组进程备忘录等相关材料、相关证券账户开户资料、登陆日志、证券交易流水、银证转账流水、银行成交流水、相关截图、相关人员情况说明、相关人员笔录等证据证明，足以认定。</w:t>
      </w:r>
    </w:p>
    <w:p w14:paraId="74F51DD1" w14:textId="77777777" w:rsidR="006B4F7E" w:rsidRPr="006B4F7E" w:rsidRDefault="006B4F7E" w:rsidP="006B4F7E">
      <w:pPr>
        <w:widowControl/>
        <w:shd w:val="clear" w:color="auto" w:fill="FFFFFF"/>
        <w:wordWrap w:val="0"/>
        <w:spacing w:line="620" w:lineRule="atLeast"/>
        <w:ind w:firstLine="616"/>
        <w:jc w:val="left"/>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我会认为，陈莉娟的上述行为违反了2005年《证券法》第七十三条、七十六条第一款的规定，构成2005年《证券法》第二百零二条所述的内幕交易行为。</w:t>
      </w:r>
    </w:p>
    <w:p w14:paraId="7A85DD5F"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陈莉娟在申辩材料中提出，一是其</w:t>
      </w:r>
      <w:proofErr w:type="gramStart"/>
      <w:r w:rsidRPr="006B4F7E">
        <w:rPr>
          <w:rFonts w:ascii="楷体" w:eastAsia="楷体" w:hAnsi="楷体" w:cs="宋体" w:hint="eastAsia"/>
          <w:color w:val="000000"/>
          <w:kern w:val="0"/>
          <w:szCs w:val="21"/>
        </w:rPr>
        <w:t>不</w:t>
      </w:r>
      <w:proofErr w:type="gramEnd"/>
      <w:r w:rsidRPr="006B4F7E">
        <w:rPr>
          <w:rFonts w:ascii="楷体" w:eastAsia="楷体" w:hAnsi="楷体" w:cs="宋体" w:hint="eastAsia"/>
          <w:color w:val="000000"/>
          <w:kern w:val="0"/>
          <w:szCs w:val="21"/>
        </w:rPr>
        <w:t>知悉内幕信息。其因工作接触周某科过程中没有人提及“乐通股份收购中科信维”的相关信息，其知悉乐通股份是基于对市场的了解；二是其交易“乐通股份”是基于其综合分析。其本人具有丰富的专业知识和投资经验，在买入“乐通股份”前进行了深入分析，综合各方面的信息，自主</w:t>
      </w:r>
      <w:proofErr w:type="gramStart"/>
      <w:r w:rsidRPr="006B4F7E">
        <w:rPr>
          <w:rFonts w:ascii="楷体" w:eastAsia="楷体" w:hAnsi="楷体" w:cs="宋体" w:hint="eastAsia"/>
          <w:color w:val="000000"/>
          <w:kern w:val="0"/>
          <w:szCs w:val="21"/>
        </w:rPr>
        <w:t>作出</w:t>
      </w:r>
      <w:proofErr w:type="gramEnd"/>
      <w:r w:rsidRPr="006B4F7E">
        <w:rPr>
          <w:rFonts w:ascii="楷体" w:eastAsia="楷体" w:hAnsi="楷体" w:cs="宋体" w:hint="eastAsia"/>
          <w:color w:val="000000"/>
          <w:kern w:val="0"/>
          <w:szCs w:val="21"/>
        </w:rPr>
        <w:t>投资决策；三是“陈莉娟”账户并不存在明显“异常”的情形。基于以往的投资经历和投资风格，交易“乐通股份”是延续其一贯的操作手法。综上所述，其账户交易具有合理性，不能适用推定原则认定其构成内幕交易。请求免除处罚。</w:t>
      </w:r>
    </w:p>
    <w:p w14:paraId="7C8A8EDA"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经复核，我会认为，在案证据足以确认陈莉娟内幕交易。第一，陈莉娟承认与周某科存在联络接触，且内幕信息敏感期内，在与内幕信息知情人接触后，实施了交易“乐通股份”的行为；第二，“陈莉娟”账户长期空置后，新转入资金大量买入“乐通股份”，且交易股票单一，资金转入和交易“乐通股份”的时间与其和内幕信息知情人接触的时间吻合，在案证据足以认定该账户交易异常。第三，其未提供排除其存在利用内幕信息交易的证据，相关申辩意见亦不能对其异常交易</w:t>
      </w:r>
      <w:proofErr w:type="gramStart"/>
      <w:r w:rsidRPr="006B4F7E">
        <w:rPr>
          <w:rFonts w:ascii="楷体" w:eastAsia="楷体" w:hAnsi="楷体" w:cs="宋体" w:hint="eastAsia"/>
          <w:color w:val="000000"/>
          <w:kern w:val="0"/>
          <w:szCs w:val="21"/>
        </w:rPr>
        <w:t>作出</w:t>
      </w:r>
      <w:proofErr w:type="gramEnd"/>
      <w:r w:rsidRPr="006B4F7E">
        <w:rPr>
          <w:rFonts w:ascii="楷体" w:eastAsia="楷体" w:hAnsi="楷体" w:cs="宋体" w:hint="eastAsia"/>
          <w:color w:val="000000"/>
          <w:kern w:val="0"/>
          <w:szCs w:val="21"/>
        </w:rPr>
        <w:t>合理说明，应当确认其构成内幕交易。综上，对其申辩意见不予采纳。</w:t>
      </w:r>
    </w:p>
    <w:p w14:paraId="6A973F72" w14:textId="77777777" w:rsidR="006B4F7E" w:rsidRPr="006B4F7E" w:rsidRDefault="006B4F7E" w:rsidP="006B4F7E">
      <w:pPr>
        <w:widowControl/>
        <w:shd w:val="clear" w:color="auto" w:fill="FFFFFF"/>
        <w:wordWrap w:val="0"/>
        <w:spacing w:line="620" w:lineRule="atLeast"/>
        <w:ind w:firstLine="616"/>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lastRenderedPageBreak/>
        <w:t>根据当事人违法行为的事实、性质、情节与社会危害程度，依据2005年《证券法》第二百零二条的规定，我会决定：对陈莉娟处以10万元罚款。</w:t>
      </w:r>
    </w:p>
    <w:p w14:paraId="4769FB2A" w14:textId="77777777" w:rsidR="006B4F7E" w:rsidRPr="006B4F7E" w:rsidRDefault="006B4F7E" w:rsidP="006B4F7E">
      <w:pPr>
        <w:widowControl/>
        <w:shd w:val="clear" w:color="auto" w:fill="FFFFFF"/>
        <w:wordWrap w:val="0"/>
        <w:spacing w:line="620" w:lineRule="atLeast"/>
        <w:ind w:firstLine="616"/>
        <w:jc w:val="left"/>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7D552AC" w14:textId="77777777" w:rsidR="006B4F7E" w:rsidRPr="006B4F7E" w:rsidRDefault="006B4F7E" w:rsidP="006B4F7E">
      <w:pPr>
        <w:widowControl/>
        <w:shd w:val="clear" w:color="auto" w:fill="FFFFFF"/>
        <w:wordWrap w:val="0"/>
        <w:spacing w:line="560" w:lineRule="atLeast"/>
        <w:jc w:val="left"/>
        <w:rPr>
          <w:rFonts w:ascii="楷体" w:eastAsia="楷体" w:hAnsi="楷体" w:cs="宋体" w:hint="eastAsia"/>
          <w:color w:val="000000"/>
          <w:kern w:val="0"/>
          <w:sz w:val="24"/>
          <w:szCs w:val="24"/>
        </w:rPr>
      </w:pPr>
      <w:r w:rsidRPr="006B4F7E">
        <w:rPr>
          <w:rFonts w:ascii="Calibri" w:eastAsia="楷体" w:hAnsi="Calibri" w:cs="Calibri"/>
          <w:color w:val="000000"/>
          <w:kern w:val="0"/>
          <w:szCs w:val="21"/>
        </w:rPr>
        <w:t> </w:t>
      </w:r>
    </w:p>
    <w:p w14:paraId="5DD17736" w14:textId="77777777" w:rsidR="006B4F7E" w:rsidRPr="006B4F7E" w:rsidRDefault="006B4F7E" w:rsidP="006B4F7E">
      <w:pPr>
        <w:widowControl/>
        <w:shd w:val="clear" w:color="auto" w:fill="FFFFFF"/>
        <w:wordWrap w:val="0"/>
        <w:spacing w:line="560" w:lineRule="atLeast"/>
        <w:jc w:val="left"/>
        <w:rPr>
          <w:rFonts w:ascii="楷体" w:eastAsia="楷体" w:hAnsi="楷体" w:cs="宋体" w:hint="eastAsia"/>
          <w:color w:val="000000"/>
          <w:kern w:val="0"/>
          <w:sz w:val="24"/>
          <w:szCs w:val="24"/>
        </w:rPr>
      </w:pPr>
      <w:r w:rsidRPr="006B4F7E">
        <w:rPr>
          <w:rFonts w:ascii="楷体" w:eastAsia="楷体" w:hAnsi="楷体" w:cs="宋体" w:hint="eastAsia"/>
          <w:color w:val="000000"/>
          <w:kern w:val="0"/>
          <w:sz w:val="24"/>
          <w:szCs w:val="24"/>
        </w:rPr>
        <w:t xml:space="preserve">　　　　　　　　　　　　　　　　　　　　　　　　　　　　　　　　　　　　　　　　　　　　　　　　　　　　　　　　　　　　　　　　　　　　　　　　　　　　　　　　　</w:t>
      </w:r>
      <w:r w:rsidRPr="006B4F7E">
        <w:rPr>
          <w:rFonts w:ascii="楷体" w:eastAsia="楷体" w:hAnsi="楷体" w:cs="宋体" w:hint="eastAsia"/>
          <w:color w:val="000000"/>
          <w:kern w:val="0"/>
          <w:szCs w:val="21"/>
        </w:rPr>
        <w:t xml:space="preserve">中国证监会　</w:t>
      </w:r>
      <w:r w:rsidRPr="006B4F7E">
        <w:rPr>
          <w:rFonts w:ascii="Calibri" w:eastAsia="楷体" w:hAnsi="Calibri" w:cs="Calibri"/>
          <w:color w:val="000000"/>
          <w:kern w:val="0"/>
          <w:szCs w:val="21"/>
        </w:rPr>
        <w:t>  </w:t>
      </w:r>
      <w:r w:rsidRPr="006B4F7E">
        <w:rPr>
          <w:rFonts w:ascii="楷体" w:eastAsia="楷体" w:hAnsi="楷体" w:cs="宋体" w:hint="eastAsia"/>
          <w:color w:val="000000"/>
          <w:kern w:val="0"/>
          <w:szCs w:val="21"/>
        </w:rPr>
        <w:t xml:space="preserve">　　</w:t>
      </w:r>
      <w:proofErr w:type="gramStart"/>
      <w:r w:rsidRPr="006B4F7E">
        <w:rPr>
          <w:rFonts w:ascii="楷体" w:eastAsia="楷体" w:hAnsi="楷体" w:cs="宋体" w:hint="eastAsia"/>
          <w:color w:val="000000"/>
          <w:kern w:val="0"/>
          <w:szCs w:val="21"/>
        </w:rPr>
        <w:t xml:space="preserve">　</w:t>
      </w:r>
      <w:proofErr w:type="gramEnd"/>
    </w:p>
    <w:p w14:paraId="47D72D94" w14:textId="77777777" w:rsidR="006B4F7E" w:rsidRPr="006B4F7E" w:rsidRDefault="006B4F7E" w:rsidP="006B4F7E">
      <w:pPr>
        <w:widowControl/>
        <w:shd w:val="clear" w:color="auto" w:fill="FFFFFF"/>
        <w:wordWrap w:val="0"/>
        <w:spacing w:line="408" w:lineRule="atLeast"/>
        <w:jc w:val="left"/>
        <w:rPr>
          <w:rFonts w:ascii="楷体" w:eastAsia="楷体" w:hAnsi="楷体" w:cs="宋体" w:hint="eastAsia"/>
          <w:color w:val="000000"/>
          <w:kern w:val="0"/>
          <w:sz w:val="24"/>
          <w:szCs w:val="24"/>
        </w:rPr>
      </w:pPr>
      <w:r w:rsidRPr="006B4F7E">
        <w:rPr>
          <w:rFonts w:ascii="楷体" w:eastAsia="楷体" w:hAnsi="楷体" w:cs="宋体" w:hint="eastAsia"/>
          <w:color w:val="000000"/>
          <w:kern w:val="0"/>
          <w:szCs w:val="21"/>
        </w:rPr>
        <w:t xml:space="preserve">　　　　　　　　　　　　　　　　　　　　　　　　　　　　　2021年6月15日　</w:t>
      </w:r>
      <w:r w:rsidRPr="006B4F7E">
        <w:rPr>
          <w:rFonts w:ascii="Calibri" w:eastAsia="楷体" w:hAnsi="Calibri" w:cs="Calibri"/>
          <w:color w:val="000000"/>
          <w:kern w:val="0"/>
          <w:szCs w:val="21"/>
        </w:rPr>
        <w:t> </w:t>
      </w:r>
    </w:p>
    <w:p w14:paraId="5ABE0D2A" w14:textId="77777777" w:rsidR="00A87370" w:rsidRDefault="00A87370">
      <w:pPr>
        <w:rPr>
          <w:rFonts w:hint="eastAsia"/>
        </w:rPr>
      </w:pPr>
    </w:p>
    <w:sectPr w:rsidR="00A8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CCA82" w14:textId="77777777" w:rsidR="00AD5188" w:rsidRDefault="00AD5188" w:rsidP="004D045C">
      <w:pPr>
        <w:rPr>
          <w:rFonts w:hint="eastAsia"/>
        </w:rPr>
      </w:pPr>
      <w:r>
        <w:separator/>
      </w:r>
    </w:p>
  </w:endnote>
  <w:endnote w:type="continuationSeparator" w:id="0">
    <w:p w14:paraId="01A2D8CC" w14:textId="77777777" w:rsidR="00AD5188" w:rsidRDefault="00AD5188" w:rsidP="004D045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9CACA" w14:textId="77777777" w:rsidR="00AD5188" w:rsidRDefault="00AD5188" w:rsidP="004D045C">
      <w:pPr>
        <w:rPr>
          <w:rFonts w:hint="eastAsia"/>
        </w:rPr>
      </w:pPr>
      <w:r>
        <w:separator/>
      </w:r>
    </w:p>
  </w:footnote>
  <w:footnote w:type="continuationSeparator" w:id="0">
    <w:p w14:paraId="41E3A314" w14:textId="77777777" w:rsidR="00AD5188" w:rsidRDefault="00AD5188" w:rsidP="004D045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7E"/>
    <w:rsid w:val="004D045C"/>
    <w:rsid w:val="006B4F7E"/>
    <w:rsid w:val="00A87370"/>
    <w:rsid w:val="00AD5188"/>
    <w:rsid w:val="00BE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32D72"/>
  <w15:chartTrackingRefBased/>
  <w15:docId w15:val="{F5B9CDD6-D40E-499C-93A0-9FC14E9D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4F7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4F7E"/>
    <w:rPr>
      <w:b/>
      <w:bCs/>
    </w:rPr>
  </w:style>
  <w:style w:type="paragraph" w:styleId="a5">
    <w:name w:val="header"/>
    <w:basedOn w:val="a"/>
    <w:link w:val="a6"/>
    <w:uiPriority w:val="99"/>
    <w:unhideWhenUsed/>
    <w:rsid w:val="004D045C"/>
    <w:pPr>
      <w:tabs>
        <w:tab w:val="center" w:pos="4153"/>
        <w:tab w:val="right" w:pos="8306"/>
      </w:tabs>
      <w:snapToGrid w:val="0"/>
      <w:jc w:val="center"/>
    </w:pPr>
    <w:rPr>
      <w:sz w:val="18"/>
      <w:szCs w:val="18"/>
    </w:rPr>
  </w:style>
  <w:style w:type="character" w:customStyle="1" w:styleId="a6">
    <w:name w:val="页眉 字符"/>
    <w:basedOn w:val="a0"/>
    <w:link w:val="a5"/>
    <w:uiPriority w:val="99"/>
    <w:rsid w:val="004D045C"/>
    <w:rPr>
      <w:sz w:val="18"/>
      <w:szCs w:val="18"/>
    </w:rPr>
  </w:style>
  <w:style w:type="paragraph" w:styleId="a7">
    <w:name w:val="footer"/>
    <w:basedOn w:val="a"/>
    <w:link w:val="a8"/>
    <w:uiPriority w:val="99"/>
    <w:unhideWhenUsed/>
    <w:rsid w:val="004D045C"/>
    <w:pPr>
      <w:tabs>
        <w:tab w:val="center" w:pos="4153"/>
        <w:tab w:val="right" w:pos="8306"/>
      </w:tabs>
      <w:snapToGrid w:val="0"/>
      <w:jc w:val="left"/>
    </w:pPr>
    <w:rPr>
      <w:sz w:val="18"/>
      <w:szCs w:val="18"/>
    </w:rPr>
  </w:style>
  <w:style w:type="character" w:customStyle="1" w:styleId="a8">
    <w:name w:val="页脚 字符"/>
    <w:basedOn w:val="a0"/>
    <w:link w:val="a7"/>
    <w:uiPriority w:val="99"/>
    <w:rsid w:val="004D04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716719">
      <w:bodyDiv w:val="1"/>
      <w:marLeft w:val="0"/>
      <w:marRight w:val="0"/>
      <w:marTop w:val="0"/>
      <w:marBottom w:val="0"/>
      <w:divBdr>
        <w:top w:val="none" w:sz="0" w:space="0" w:color="auto"/>
        <w:left w:val="none" w:sz="0" w:space="0" w:color="auto"/>
        <w:bottom w:val="none" w:sz="0" w:space="0" w:color="auto"/>
        <w:right w:val="none" w:sz="0" w:space="0" w:color="auto"/>
      </w:divBdr>
      <w:divsChild>
        <w:div w:id="226768478">
          <w:marLeft w:val="0"/>
          <w:marRight w:val="0"/>
          <w:marTop w:val="150"/>
          <w:marBottom w:val="150"/>
          <w:divBdr>
            <w:top w:val="none" w:sz="0" w:space="0" w:color="auto"/>
            <w:left w:val="none" w:sz="0" w:space="0" w:color="auto"/>
            <w:bottom w:val="none" w:sz="0" w:space="0" w:color="auto"/>
            <w:right w:val="none" w:sz="0" w:space="0" w:color="auto"/>
          </w:divBdr>
        </w:div>
        <w:div w:id="2140485744">
          <w:marLeft w:val="0"/>
          <w:marRight w:val="0"/>
          <w:marTop w:val="0"/>
          <w:marBottom w:val="0"/>
          <w:divBdr>
            <w:top w:val="single" w:sz="6" w:space="8" w:color="B5B5B5"/>
            <w:left w:val="single" w:sz="6" w:space="0" w:color="B5B5B5"/>
            <w:bottom w:val="single" w:sz="6" w:space="8" w:color="B5B5B5"/>
            <w:right w:val="single" w:sz="6" w:space="0" w:color="B5B5B5"/>
          </w:divBdr>
          <w:divsChild>
            <w:div w:id="1153645387">
              <w:marLeft w:val="0"/>
              <w:marRight w:val="0"/>
              <w:marTop w:val="0"/>
              <w:marBottom w:val="0"/>
              <w:divBdr>
                <w:top w:val="none" w:sz="0" w:space="0" w:color="auto"/>
                <w:left w:val="none" w:sz="0" w:space="0" w:color="auto"/>
                <w:bottom w:val="none" w:sz="0" w:space="0" w:color="auto"/>
                <w:right w:val="none" w:sz="0" w:space="0" w:color="auto"/>
              </w:divBdr>
            </w:div>
            <w:div w:id="10575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2021-12-08T16:02:00Z</dcterms:created>
  <dcterms:modified xsi:type="dcterms:W3CDTF">2024-12-15T05:59:00Z</dcterms:modified>
</cp:coreProperties>
</file>