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46"/>
        <w:spacing w:before="176" w:line="221" w:lineRule="auto"/>
        <w:rPr>
          <w:rFonts w:ascii="SimHei" w:hAnsi="SimHei" w:eastAsia="SimHei" w:cs="SimHei"/>
          <w:sz w:val="54"/>
          <w:szCs w:val="54"/>
        </w:rPr>
      </w:pPr>
      <w:r>
        <w:rPr>
          <w:rFonts w:ascii="SimHei" w:hAnsi="SimHei" w:eastAsia="SimHei" w:cs="SimHei"/>
          <w:sz w:val="54"/>
          <w:szCs w:val="54"/>
          <w:b/>
          <w:bCs/>
          <w:color w:val="EB0000"/>
          <w:spacing w:val="-48"/>
          <w:w w:val="92"/>
        </w:rPr>
        <w:t>中国证券监督管理委员会云南监管局</w:t>
      </w:r>
    </w:p>
    <w:p>
      <w:pPr>
        <w:ind w:left="282"/>
        <w:spacing w:before="331" w:line="219" w:lineRule="auto"/>
        <w:rPr>
          <w:rFonts w:ascii="SimSun" w:hAnsi="SimSun" w:eastAsia="SimSun" w:cs="SimSun"/>
          <w:sz w:val="84"/>
          <w:szCs w:val="84"/>
        </w:rPr>
      </w:pPr>
      <w:r>
        <w:rPr>
          <w:rFonts w:ascii="SimSun" w:hAnsi="SimSun" w:eastAsia="SimSun" w:cs="SimSun"/>
          <w:sz w:val="84"/>
          <w:szCs w:val="84"/>
          <w:b/>
          <w:bCs/>
          <w:color w:val="EB0000"/>
          <w:spacing w:val="-43"/>
        </w:rPr>
        <w:t>行</w:t>
      </w:r>
      <w:r>
        <w:rPr>
          <w:rFonts w:ascii="SimSun" w:hAnsi="SimSun" w:eastAsia="SimSun" w:cs="SimSun"/>
          <w:sz w:val="84"/>
          <w:szCs w:val="84"/>
          <w:color w:val="EB0000"/>
          <w:spacing w:val="-43"/>
        </w:rPr>
        <w:t xml:space="preserve"> </w:t>
      </w:r>
      <w:r>
        <w:rPr>
          <w:rFonts w:ascii="SimSun" w:hAnsi="SimSun" w:eastAsia="SimSun" w:cs="SimSun"/>
          <w:sz w:val="84"/>
          <w:szCs w:val="84"/>
          <w:b/>
          <w:bCs/>
          <w:color w:val="EB0000"/>
          <w:spacing w:val="-43"/>
        </w:rPr>
        <w:t>政</w:t>
      </w:r>
      <w:r>
        <w:rPr>
          <w:rFonts w:ascii="SimSun" w:hAnsi="SimSun" w:eastAsia="SimSun" w:cs="SimSun"/>
          <w:sz w:val="84"/>
          <w:szCs w:val="84"/>
          <w:color w:val="EB0000"/>
          <w:spacing w:val="50"/>
        </w:rPr>
        <w:t xml:space="preserve"> </w:t>
      </w:r>
      <w:r>
        <w:rPr>
          <w:rFonts w:ascii="SimSun" w:hAnsi="SimSun" w:eastAsia="SimSun" w:cs="SimSun"/>
          <w:sz w:val="84"/>
          <w:szCs w:val="84"/>
          <w:b/>
          <w:bCs/>
          <w:color w:val="EB0000"/>
          <w:spacing w:val="-43"/>
        </w:rPr>
        <w:t>处</w:t>
      </w:r>
      <w:r>
        <w:rPr>
          <w:rFonts w:ascii="SimSun" w:hAnsi="SimSun" w:eastAsia="SimSun" w:cs="SimSun"/>
          <w:sz w:val="84"/>
          <w:szCs w:val="84"/>
          <w:color w:val="EB0000"/>
          <w:spacing w:val="67"/>
        </w:rPr>
        <w:t xml:space="preserve"> </w:t>
      </w:r>
      <w:r>
        <w:rPr>
          <w:rFonts w:ascii="SimSun" w:hAnsi="SimSun" w:eastAsia="SimSun" w:cs="SimSun"/>
          <w:sz w:val="84"/>
          <w:szCs w:val="84"/>
          <w:b/>
          <w:bCs/>
          <w:color w:val="EB0000"/>
          <w:spacing w:val="-43"/>
        </w:rPr>
        <w:t>罚</w:t>
      </w:r>
      <w:r>
        <w:rPr>
          <w:rFonts w:ascii="SimSun" w:hAnsi="SimSun" w:eastAsia="SimSun" w:cs="SimSun"/>
          <w:sz w:val="84"/>
          <w:szCs w:val="84"/>
          <w:color w:val="EB0000"/>
          <w:spacing w:val="56"/>
        </w:rPr>
        <w:t xml:space="preserve"> </w:t>
      </w:r>
      <w:r>
        <w:rPr>
          <w:rFonts w:ascii="SimSun" w:hAnsi="SimSun" w:eastAsia="SimSun" w:cs="SimSun"/>
          <w:sz w:val="84"/>
          <w:szCs w:val="84"/>
          <w:b/>
          <w:bCs/>
          <w:color w:val="EB0000"/>
          <w:spacing w:val="-43"/>
        </w:rPr>
        <w:t>决</w:t>
      </w:r>
      <w:r>
        <w:rPr>
          <w:rFonts w:ascii="SimSun" w:hAnsi="SimSun" w:eastAsia="SimSun" w:cs="SimSun"/>
          <w:sz w:val="84"/>
          <w:szCs w:val="84"/>
          <w:color w:val="EB0000"/>
          <w:spacing w:val="51"/>
        </w:rPr>
        <w:t xml:space="preserve"> </w:t>
      </w:r>
      <w:r>
        <w:rPr>
          <w:rFonts w:ascii="SimSun" w:hAnsi="SimSun" w:eastAsia="SimSun" w:cs="SimSun"/>
          <w:sz w:val="84"/>
          <w:szCs w:val="84"/>
          <w:b/>
          <w:bCs/>
          <w:color w:val="EB0000"/>
          <w:spacing w:val="-43"/>
        </w:rPr>
        <w:t>定</w:t>
      </w:r>
      <w:r>
        <w:rPr>
          <w:rFonts w:ascii="SimSun" w:hAnsi="SimSun" w:eastAsia="SimSun" w:cs="SimSun"/>
          <w:sz w:val="84"/>
          <w:szCs w:val="84"/>
          <w:color w:val="EB0000"/>
          <w:spacing w:val="48"/>
        </w:rPr>
        <w:t xml:space="preserve"> </w:t>
      </w:r>
      <w:r>
        <w:rPr>
          <w:rFonts w:ascii="SimSun" w:hAnsi="SimSun" w:eastAsia="SimSun" w:cs="SimSun"/>
          <w:sz w:val="84"/>
          <w:szCs w:val="84"/>
          <w:b/>
          <w:bCs/>
          <w:color w:val="EB0000"/>
          <w:spacing w:val="-43"/>
        </w:rPr>
        <w:t>书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575"/>
        <w:spacing w:before="94" w:line="224" w:lineRule="auto"/>
        <w:rPr>
          <w:sz w:val="29"/>
          <w:szCs w:val="29"/>
        </w:rPr>
      </w:pPr>
      <w:r>
        <w:rPr>
          <w:sz w:val="29"/>
          <w:szCs w:val="29"/>
          <w:spacing w:val="16"/>
        </w:rPr>
        <w:t>〔2020〕1号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right="77" w:firstLine="629"/>
        <w:spacing w:before="100" w:line="330" w:lineRule="auto"/>
        <w:rPr/>
      </w:pPr>
      <w:r>
        <w:rPr>
          <w:spacing w:val="18"/>
        </w:rPr>
        <w:t>当事人：陆叶，男，1977年7月2日出生，</w:t>
      </w:r>
      <w:r>
        <w:rPr>
          <w:spacing w:val="17"/>
        </w:rPr>
        <w:t>住址：上海市崇</w:t>
      </w:r>
      <w:r>
        <w:rPr/>
        <w:t xml:space="preserve"> </w:t>
      </w:r>
      <w:r>
        <w:rPr>
          <w:spacing w:val="5"/>
        </w:rPr>
        <w:t>明县港沿镇富强村富东409号。</w:t>
      </w:r>
    </w:p>
    <w:p>
      <w:pPr>
        <w:pStyle w:val="BodyText"/>
        <w:ind w:firstLine="629"/>
        <w:spacing w:before="39" w:line="324" w:lineRule="auto"/>
        <w:jc w:val="both"/>
        <w:rPr/>
      </w:pPr>
      <w:r>
        <w:rPr>
          <w:spacing w:val="1"/>
        </w:rPr>
        <w:t>依据2005年修订的《中华人民共和国证券法》(以</w:t>
      </w:r>
      <w:r>
        <w:rPr/>
        <w:t>下简称2005</w:t>
      </w:r>
      <w:r>
        <w:rPr/>
        <w:t xml:space="preserve"> </w:t>
      </w:r>
      <w:r>
        <w:rPr>
          <w:spacing w:val="1"/>
        </w:rPr>
        <w:t>年《证券法》)的有关规定，我局对陆叶涉嫌内幕交易八菱科技股</w:t>
      </w:r>
      <w:r>
        <w:rPr>
          <w:spacing w:val="4"/>
        </w:rPr>
        <w:t xml:space="preserve"> </w:t>
      </w:r>
      <w:r>
        <w:rPr>
          <w:spacing w:val="-1"/>
        </w:rPr>
        <w:t>份有限公司(以下简称八菱科技)股票行为进行了立案</w:t>
      </w:r>
      <w:r>
        <w:rPr>
          <w:spacing w:val="-2"/>
        </w:rPr>
        <w:t>调查、审理，</w:t>
      </w:r>
      <w:r>
        <w:rPr/>
        <w:t xml:space="preserve"> </w:t>
      </w:r>
      <w:r>
        <w:rPr>
          <w:spacing w:val="-4"/>
        </w:rPr>
        <w:t>并依法向当事人告知了作出行政处罚的事实、理由、</w:t>
      </w:r>
      <w:r>
        <w:rPr>
          <w:spacing w:val="-5"/>
        </w:rPr>
        <w:t>依据及当事人</w:t>
      </w:r>
      <w:r>
        <w:rPr/>
        <w:t xml:space="preserve"> </w:t>
      </w:r>
      <w:r>
        <w:rPr>
          <w:spacing w:val="17"/>
        </w:rPr>
        <w:t>依法享有的权利。应当事人陆叶的要求于2020</w:t>
      </w:r>
      <w:r>
        <w:rPr>
          <w:spacing w:val="16"/>
        </w:rPr>
        <w:t>年8月3日举行了</w:t>
      </w:r>
      <w:r>
        <w:rPr/>
        <w:t xml:space="preserve"> </w:t>
      </w:r>
      <w:r>
        <w:rPr>
          <w:spacing w:val="-4"/>
        </w:rPr>
        <w:t>听证会，听取了陆叶及其代理人的陈述和申辩。本案现已调查、审</w:t>
      </w:r>
      <w:r>
        <w:rPr>
          <w:spacing w:val="3"/>
        </w:rPr>
        <w:t xml:space="preserve"> </w:t>
      </w:r>
      <w:r>
        <w:rPr>
          <w:spacing w:val="-7"/>
        </w:rPr>
        <w:t>理终结。</w:t>
      </w:r>
    </w:p>
    <w:p>
      <w:pPr>
        <w:pStyle w:val="BodyText"/>
        <w:ind w:left="629"/>
        <w:spacing w:before="100" w:line="219" w:lineRule="auto"/>
        <w:rPr/>
      </w:pPr>
      <w:r>
        <w:rPr>
          <w:spacing w:val="-6"/>
        </w:rPr>
        <w:t>经查明，陆叶存在以下违法事实：</w:t>
      </w:r>
    </w:p>
    <w:p>
      <w:pPr>
        <w:ind w:left="634"/>
        <w:spacing w:before="172" w:line="222" w:lineRule="auto"/>
        <w:outlineLvl w:val="0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7"/>
        </w:rPr>
        <w:t>一</w:t>
      </w:r>
      <w:r>
        <w:rPr>
          <w:rFonts w:ascii="SimHei" w:hAnsi="SimHei" w:eastAsia="SimHei" w:cs="SimHei"/>
          <w:sz w:val="32"/>
          <w:szCs w:val="32"/>
          <w:spacing w:val="-88"/>
        </w:rPr>
        <w:t xml:space="preserve"> </w:t>
      </w:r>
      <w:r>
        <w:rPr>
          <w:rFonts w:ascii="SimHei" w:hAnsi="SimHei" w:eastAsia="SimHei" w:cs="SimHei"/>
          <w:sz w:val="32"/>
          <w:szCs w:val="32"/>
          <w:b/>
          <w:bCs/>
          <w:spacing w:val="-7"/>
        </w:rPr>
        <w:t>、内幕信息的形成及公开过程</w:t>
      </w:r>
    </w:p>
    <w:p>
      <w:pPr>
        <w:pStyle w:val="BodyText"/>
        <w:ind w:right="74" w:firstLine="599"/>
        <w:spacing w:before="170" w:line="329" w:lineRule="auto"/>
        <w:jc w:val="both"/>
        <w:rPr/>
      </w:pPr>
      <w:r>
        <w:rPr>
          <w:spacing w:val="7"/>
        </w:rPr>
        <w:t>2018年11月初，八菱科技财务总监黄某田主动联系中间人李</w:t>
      </w:r>
      <w:r>
        <w:rPr>
          <w:spacing w:val="11"/>
        </w:rPr>
        <w:t xml:space="preserve"> </w:t>
      </w:r>
      <w:r>
        <w:rPr>
          <w:spacing w:val="7"/>
        </w:rPr>
        <w:t>某，希望寻找合适对手方收购八菱科技5%以上的个别股</w:t>
      </w:r>
      <w:r>
        <w:rPr>
          <w:spacing w:val="6"/>
        </w:rPr>
        <w:t>东持有的</w:t>
      </w:r>
      <w:r>
        <w:rPr/>
        <w:t xml:space="preserve"> </w:t>
      </w:r>
      <w:r>
        <w:rPr>
          <w:spacing w:val="12"/>
        </w:rPr>
        <w:t>股权，价格参照之前南京红太阳拟收购八菱科技</w:t>
      </w:r>
      <w:r>
        <w:rPr>
          <w:spacing w:val="11"/>
        </w:rPr>
        <w:t>股权的价格(20</w:t>
      </w:r>
    </w:p>
    <w:p>
      <w:pPr>
        <w:spacing w:line="329" w:lineRule="auto"/>
        <w:sectPr>
          <w:footerReference w:type="default" r:id="rId1"/>
          <w:pgSz w:w="11900" w:h="16820"/>
          <w:pgMar w:top="1429" w:right="1424" w:bottom="1544" w:left="1519" w:header="0" w:footer="1255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87" w:line="223" w:lineRule="auto"/>
        <w:rPr>
          <w:sz w:val="27"/>
          <w:szCs w:val="27"/>
        </w:rPr>
      </w:pPr>
      <w:r>
        <w:rPr>
          <w:sz w:val="27"/>
          <w:szCs w:val="27"/>
          <w:spacing w:val="19"/>
        </w:rPr>
        <w:t>元每股)。</w:t>
      </w:r>
    </w:p>
    <w:p>
      <w:pPr>
        <w:pStyle w:val="BodyText"/>
        <w:ind w:firstLine="599"/>
        <w:spacing w:before="187" w:line="319" w:lineRule="auto"/>
        <w:rPr/>
      </w:pPr>
      <w:r>
        <w:rPr>
          <w:spacing w:val="5"/>
        </w:rPr>
        <w:t>2018年11月17日，李某告知顾某逵有关八菱科技股权拟转让</w:t>
      </w:r>
      <w:r>
        <w:rPr/>
        <w:t xml:space="preserve"> </w:t>
      </w:r>
      <w:r>
        <w:rPr>
          <w:spacing w:val="2"/>
        </w:rPr>
        <w:t>事项(7%的股权转让，转让价格20元、已公告的红太阳收购信息、</w:t>
      </w:r>
      <w:r>
        <w:rPr>
          <w:spacing w:val="16"/>
        </w:rPr>
        <w:t xml:space="preserve"> </w:t>
      </w:r>
      <w:r>
        <w:rPr/>
        <w:t>员工持股计划等),让顾某逵考虑是否收购上述股权。</w:t>
      </w:r>
    </w:p>
    <w:p>
      <w:pPr>
        <w:pStyle w:val="BodyText"/>
        <w:ind w:right="75" w:firstLine="599"/>
        <w:spacing w:before="67" w:line="319" w:lineRule="auto"/>
        <w:rPr/>
      </w:pPr>
      <w:r>
        <w:rPr>
          <w:spacing w:val="11"/>
        </w:rPr>
        <w:t>2018年12月3日，顾某逵通知李某称其决定收购八菱科技股</w:t>
      </w:r>
      <w:r>
        <w:rPr>
          <w:spacing w:val="14"/>
        </w:rPr>
        <w:t xml:space="preserve"> </w:t>
      </w:r>
      <w:r>
        <w:rPr>
          <w:spacing w:val="-5"/>
        </w:rPr>
        <w:t>权，李某联系了黄某田，黄某田回复可以签约。</w:t>
      </w:r>
    </w:p>
    <w:p>
      <w:pPr>
        <w:pStyle w:val="BodyText"/>
        <w:ind w:right="73" w:firstLine="599"/>
        <w:spacing w:before="39" w:line="324" w:lineRule="auto"/>
        <w:rPr/>
      </w:pPr>
      <w:r>
        <w:rPr>
          <w:spacing w:val="21"/>
        </w:rPr>
        <w:t>2018年12月4日20点43分，李某通过微信告知顾某逵，让</w:t>
      </w:r>
      <w:r>
        <w:rPr>
          <w:spacing w:val="15"/>
        </w:rPr>
        <w:t xml:space="preserve"> </w:t>
      </w:r>
      <w:r>
        <w:rPr>
          <w:spacing w:val="5"/>
        </w:rPr>
        <w:t>顾某逵“周四(12月6日)到南宁签约”,之后顾某逵与其聘请的律</w:t>
      </w:r>
      <w:r>
        <w:rPr>
          <w:spacing w:val="4"/>
        </w:rPr>
        <w:t xml:space="preserve"> </w:t>
      </w:r>
      <w:r>
        <w:rPr>
          <w:spacing w:val="11"/>
        </w:rPr>
        <w:t>师确定了12月6日上海飞南宁的航班。</w:t>
      </w:r>
    </w:p>
    <w:p>
      <w:pPr>
        <w:pStyle w:val="BodyText"/>
        <w:ind w:right="73" w:firstLine="599"/>
        <w:spacing w:before="61" w:line="334" w:lineRule="auto"/>
        <w:rPr>
          <w:sz w:val="27"/>
          <w:szCs w:val="27"/>
        </w:rPr>
      </w:pPr>
      <w:r>
        <w:rPr>
          <w:spacing w:val="11"/>
        </w:rPr>
        <w:t>2018年12月6日上午，顾某逵从上海飞到南宁到八菱科技公</w:t>
      </w:r>
      <w:r>
        <w:rPr>
          <w:spacing w:val="16"/>
        </w:rPr>
        <w:t xml:space="preserve"> </w:t>
      </w:r>
      <w:r>
        <w:rPr>
          <w:spacing w:val="-6"/>
        </w:rPr>
        <w:t>司与黄某强见面，陆某委托黄某强一并谈判，条件和黄某强一样就</w:t>
      </w:r>
      <w:r>
        <w:rPr/>
        <w:t xml:space="preserve"> </w:t>
      </w:r>
      <w:r>
        <w:rPr>
          <w:spacing w:val="-6"/>
        </w:rPr>
        <w:t>可以达成转让协议。顾某逵与黄某强就价格和转让金的</w:t>
      </w:r>
      <w:r>
        <w:rPr>
          <w:spacing w:val="-7"/>
        </w:rPr>
        <w:t>付款方式谈</w:t>
      </w:r>
      <w:r>
        <w:rPr/>
        <w:t xml:space="preserve"> </w:t>
      </w:r>
      <w:r>
        <w:rPr>
          <w:spacing w:val="10"/>
        </w:rPr>
        <w:t>妥后，12月6日下午顾某逵与黄某强、陆某分别签署</w:t>
      </w:r>
      <w:r>
        <w:rPr>
          <w:spacing w:val="9"/>
        </w:rPr>
        <w:t>了股权转让</w:t>
      </w:r>
      <w:r>
        <w:rPr/>
        <w:t xml:space="preserve"> </w:t>
      </w:r>
      <w:r>
        <w:rPr>
          <w:sz w:val="27"/>
          <w:szCs w:val="27"/>
          <w:spacing w:val="14"/>
        </w:rPr>
        <w:t>协议。</w:t>
      </w:r>
    </w:p>
    <w:p>
      <w:pPr>
        <w:pStyle w:val="BodyText"/>
        <w:ind w:right="81" w:firstLine="599"/>
        <w:spacing w:before="38" w:line="357" w:lineRule="auto"/>
        <w:rPr>
          <w:sz w:val="27"/>
          <w:szCs w:val="27"/>
        </w:rPr>
      </w:pPr>
      <w:r>
        <w:rPr>
          <w:spacing w:val="11"/>
        </w:rPr>
        <w:t>2018年12月6日晚间，八菱科技对上述股权转让事项进行了</w:t>
      </w:r>
      <w:r>
        <w:rPr>
          <w:spacing w:val="8"/>
        </w:rPr>
        <w:t xml:space="preserve"> </w:t>
      </w:r>
      <w:r>
        <w:rPr>
          <w:sz w:val="27"/>
          <w:szCs w:val="27"/>
          <w:spacing w:val="29"/>
        </w:rPr>
        <w:t>公告，公司股票未停牌。</w:t>
      </w:r>
    </w:p>
    <w:p>
      <w:pPr>
        <w:pStyle w:val="BodyText"/>
        <w:ind w:right="70" w:firstLine="599"/>
        <w:spacing w:before="3" w:line="348" w:lineRule="auto"/>
        <w:jc w:val="both"/>
        <w:rPr/>
      </w:pPr>
      <w:r>
        <w:rPr>
          <w:spacing w:val="12"/>
        </w:rPr>
        <w:t>2019年3月29日，因股权转让款未能</w:t>
      </w:r>
      <w:r>
        <w:rPr>
          <w:spacing w:val="11"/>
        </w:rPr>
        <w:t>如期支付，顾某逵与黄</w:t>
      </w:r>
      <w:r>
        <w:rPr/>
        <w:t xml:space="preserve"> </w:t>
      </w:r>
      <w:r>
        <w:rPr>
          <w:sz w:val="27"/>
          <w:szCs w:val="27"/>
          <w:spacing w:val="34"/>
        </w:rPr>
        <w:t>某强、陆某分别签署了股权转让协议之终止协议</w:t>
      </w:r>
      <w:r>
        <w:rPr>
          <w:sz w:val="27"/>
          <w:szCs w:val="27"/>
          <w:spacing w:val="33"/>
        </w:rPr>
        <w:t>，本次股权转让终</w:t>
      </w:r>
      <w:r>
        <w:rPr>
          <w:sz w:val="27"/>
          <w:szCs w:val="27"/>
        </w:rPr>
        <w:t xml:space="preserve"> </w:t>
      </w:r>
      <w:r>
        <w:rPr>
          <w:spacing w:val="-16"/>
        </w:rPr>
        <w:t>止。</w:t>
      </w:r>
    </w:p>
    <w:p>
      <w:pPr>
        <w:pStyle w:val="BodyText"/>
        <w:ind w:right="94" w:firstLine="599"/>
        <w:spacing w:before="2" w:line="319" w:lineRule="auto"/>
        <w:jc w:val="both"/>
        <w:rPr/>
      </w:pPr>
      <w:r>
        <w:rPr>
          <w:spacing w:val="6"/>
        </w:rPr>
        <w:t>八菱科技公司持股5%以上股东签署股权转让协议暨权</w:t>
      </w:r>
      <w:r>
        <w:rPr>
          <w:spacing w:val="5"/>
        </w:rPr>
        <w:t>益变动</w:t>
      </w:r>
      <w:r>
        <w:rPr/>
        <w:t xml:space="preserve"> </w:t>
      </w:r>
      <w:r>
        <w:rPr>
          <w:spacing w:val="4"/>
        </w:rPr>
        <w:t>的事项属于2005年《证券法》第六十七条第二款第八项所列重大</w:t>
      </w:r>
      <w:r>
        <w:rPr>
          <w:spacing w:val="11"/>
        </w:rPr>
        <w:t xml:space="preserve"> </w:t>
      </w:r>
      <w:r>
        <w:rPr>
          <w:spacing w:val="4"/>
        </w:rPr>
        <w:t>事件，为2005年《证券法》第七十五条第二款第一项、第三项规</w:t>
      </w:r>
    </w:p>
    <w:p>
      <w:pPr>
        <w:spacing w:line="319" w:lineRule="auto"/>
        <w:sectPr>
          <w:footerReference w:type="default" r:id="rId2"/>
          <w:pgSz w:w="11900" w:h="16820"/>
          <w:pgMar w:top="1429" w:right="1345" w:bottom="1609" w:left="1640" w:header="0" w:footer="1341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101" w:line="327" w:lineRule="auto"/>
        <w:jc w:val="both"/>
        <w:rPr/>
      </w:pPr>
      <w:r>
        <w:rPr>
          <w:spacing w:val="15"/>
        </w:rPr>
        <w:t>定的内幕信息。该内幕信息形成不晚于2018年11月17日，公开</w:t>
      </w:r>
      <w:r>
        <w:rPr>
          <w:spacing w:val="16"/>
        </w:rPr>
        <w:t xml:space="preserve"> </w:t>
      </w:r>
      <w:r>
        <w:rPr>
          <w:spacing w:val="12"/>
        </w:rPr>
        <w:t>于2018年12月6日。顾某逵作为股权受让方，参与洽谈、</w:t>
      </w:r>
      <w:r>
        <w:rPr>
          <w:spacing w:val="11"/>
        </w:rPr>
        <w:t>沟通、</w:t>
      </w:r>
      <w:r>
        <w:rPr/>
        <w:t xml:space="preserve"> </w:t>
      </w:r>
      <w:r>
        <w:rPr>
          <w:spacing w:val="6"/>
        </w:rPr>
        <w:t>联系，属于2005年《证券法》第七十四条第七项规定的内幕信息</w:t>
      </w:r>
      <w:r>
        <w:rPr>
          <w:spacing w:val="1"/>
        </w:rPr>
        <w:t xml:space="preserve"> </w:t>
      </w:r>
      <w:r>
        <w:rPr>
          <w:spacing w:val="16"/>
        </w:rPr>
        <w:t>知情人，知悉时间不晚于2018年11月</w:t>
      </w:r>
      <w:r>
        <w:rPr>
          <w:spacing w:val="15"/>
        </w:rPr>
        <w:t>17日。</w:t>
      </w:r>
    </w:p>
    <w:p>
      <w:pPr>
        <w:ind w:left="644"/>
        <w:spacing w:before="47" w:line="222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18"/>
        </w:rPr>
        <w:t>二、陆叶内幕交易“八菱科技”情况</w:t>
      </w:r>
    </w:p>
    <w:p>
      <w:pPr>
        <w:ind w:left="750"/>
        <w:spacing w:before="197" w:line="224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12"/>
        </w:rPr>
        <w:t>(一)内幕信息敏感期内陆叶与内幕信息知情人有通话联络</w:t>
      </w:r>
    </w:p>
    <w:p>
      <w:pPr>
        <w:pStyle w:val="BodyText"/>
        <w:ind w:right="35" w:firstLine="639"/>
        <w:spacing w:before="169" w:line="321" w:lineRule="auto"/>
        <w:rPr/>
      </w:pPr>
      <w:r>
        <w:rPr>
          <w:spacing w:val="-6"/>
        </w:rPr>
        <w:t>陆叶与内幕信息知情人、股权转让受让方顾某逵是老乡、朋友</w:t>
      </w:r>
      <w:r>
        <w:rPr>
          <w:spacing w:val="2"/>
        </w:rPr>
        <w:t xml:space="preserve"> </w:t>
      </w:r>
      <w:r>
        <w:rPr>
          <w:spacing w:val="2"/>
        </w:rPr>
        <w:t>关系，2008年左右就认识，</w:t>
      </w:r>
      <w:r>
        <w:rPr>
          <w:spacing w:val="-67"/>
        </w:rPr>
        <w:t xml:space="preserve"> </w:t>
      </w:r>
      <w:r>
        <w:rPr>
          <w:spacing w:val="2"/>
        </w:rPr>
        <w:t>一直保持联系，平时一起买彩票、赌</w:t>
      </w:r>
      <w:r>
        <w:rPr/>
        <w:t xml:space="preserve"> </w:t>
      </w:r>
      <w:r>
        <w:rPr>
          <w:spacing w:val="-14"/>
        </w:rPr>
        <w:t>球，主要通过电话联系，偶尔见面，陆叶妻子与顾某逵也认识</w:t>
      </w:r>
      <w:r>
        <w:rPr>
          <w:spacing w:val="-15"/>
        </w:rPr>
        <w:t>。2018</w:t>
      </w:r>
      <w:r>
        <w:rPr/>
        <w:t xml:space="preserve"> </w:t>
      </w:r>
      <w:r>
        <w:rPr>
          <w:spacing w:val="20"/>
        </w:rPr>
        <w:t>年11月至2019年3月两人均有电话通讯联络，且2014年以来两</w:t>
      </w:r>
    </w:p>
    <w:p>
      <w:pPr>
        <w:pStyle w:val="BodyText"/>
        <w:ind w:right="25"/>
        <w:spacing w:before="46" w:line="320" w:lineRule="auto"/>
        <w:jc w:val="both"/>
        <w:rPr>
          <w:rFonts w:ascii="SimSun" w:hAnsi="SimSun" w:eastAsia="SimSun" w:cs="SimSun"/>
        </w:rPr>
      </w:pPr>
      <w:r>
        <w:rPr>
          <w:spacing w:val="9"/>
        </w:rPr>
        <w:t>人之间存在多次资金往来。在内幕信息敏感期内，2018年</w:t>
      </w:r>
      <w:r>
        <w:rPr>
          <w:spacing w:val="8"/>
        </w:rPr>
        <w:t>12月4</w:t>
      </w:r>
      <w:r>
        <w:rPr/>
        <w:t xml:space="preserve"> </w:t>
      </w:r>
      <w:r>
        <w:rPr>
          <w:spacing w:val="49"/>
          <w:w w:val="106"/>
        </w:rPr>
        <w:t>日21点12分，顾某逵手机13061616487主叫陆叶手机</w:t>
      </w:r>
      <w:r>
        <w:rPr>
          <w:spacing w:val="4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18217728816</w:t>
      </w:r>
      <w:r>
        <w:rPr>
          <w:rFonts w:ascii="SimSun" w:hAnsi="SimSun" w:eastAsia="SimSun" w:cs="SimSun"/>
          <w:spacing w:val="-4"/>
        </w:rPr>
        <w:t>。</w:t>
      </w:r>
    </w:p>
    <w:p>
      <w:pPr>
        <w:ind w:left="750"/>
        <w:spacing w:before="127" w:line="224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1"/>
        </w:rPr>
        <w:t>(二)陆叶利用其控制的“陆某”账户交易“</w:t>
      </w:r>
      <w:r>
        <w:rPr>
          <w:rFonts w:ascii="KaiTi" w:hAnsi="KaiTi" w:eastAsia="KaiTi" w:cs="KaiTi"/>
          <w:sz w:val="31"/>
          <w:szCs w:val="31"/>
        </w:rPr>
        <w:t>八菱科技”</w:t>
      </w:r>
    </w:p>
    <w:p>
      <w:pPr>
        <w:pStyle w:val="BodyText"/>
        <w:ind w:right="24" w:firstLine="639"/>
        <w:spacing w:before="170" w:line="327" w:lineRule="auto"/>
        <w:rPr/>
      </w:pPr>
      <w:r>
        <w:rPr>
          <w:spacing w:val="25"/>
        </w:rPr>
        <w:t>陆叶于2018年12月4日21点12分与顾某逵通话后，12月5</w:t>
      </w:r>
      <w:r>
        <w:rPr>
          <w:spacing w:val="14"/>
        </w:rPr>
        <w:t xml:space="preserve"> </w:t>
      </w:r>
      <w:r>
        <w:rPr>
          <w:spacing w:val="-9"/>
        </w:rPr>
        <w:t>日利用其控制的哥哥“陆某”的账户连续单向买入八菱科技488,300</w:t>
      </w:r>
      <w:r>
        <w:rPr>
          <w:spacing w:val="17"/>
        </w:rPr>
        <w:t xml:space="preserve"> </w:t>
      </w:r>
      <w:r>
        <w:rPr>
          <w:spacing w:val="4"/>
        </w:rPr>
        <w:t>股，买入金额7,427,076元，12月13日全部卖出八菱科技488,300</w:t>
      </w:r>
      <w:r>
        <w:rPr>
          <w:spacing w:val="13"/>
        </w:rPr>
        <w:t xml:space="preserve"> </w:t>
      </w:r>
      <w:r>
        <w:rPr>
          <w:spacing w:val="-7"/>
        </w:rPr>
        <w:t>股，卖出金额10,861,457.12元，获利3,419,861.96元。交易资金小</w:t>
      </w:r>
      <w:r>
        <w:rPr>
          <w:spacing w:val="8"/>
        </w:rPr>
        <w:t xml:space="preserve"> </w:t>
      </w:r>
      <w:r>
        <w:rPr>
          <w:spacing w:val="-3"/>
        </w:rPr>
        <w:t>部分来源于陆叶自有资金，大部分来源于向第三方借贷的资金。</w:t>
      </w:r>
    </w:p>
    <w:p>
      <w:pPr>
        <w:ind w:left="754"/>
        <w:spacing w:before="56" w:line="224" w:lineRule="auto"/>
        <w:outlineLvl w:val="0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-4"/>
        </w:rPr>
        <w:t>(三)陆叶交易“八菱科技”行为明显异常</w:t>
      </w:r>
    </w:p>
    <w:p>
      <w:pPr>
        <w:pStyle w:val="BodyText"/>
        <w:ind w:right="21" w:firstLine="639"/>
        <w:spacing w:before="197" w:line="303" w:lineRule="auto"/>
        <w:rPr/>
      </w:pPr>
      <w:r>
        <w:rPr>
          <w:spacing w:val="-5"/>
        </w:rPr>
        <w:t>一是陆叶交易行为与内幕信息形成过程高度吻合、与知</w:t>
      </w:r>
      <w:r>
        <w:rPr>
          <w:spacing w:val="-6"/>
        </w:rPr>
        <w:t>情人通</w:t>
      </w:r>
      <w:r>
        <w:rPr/>
        <w:t xml:space="preserve"> </w:t>
      </w:r>
      <w:r>
        <w:rPr>
          <w:spacing w:val="6"/>
        </w:rPr>
        <w:t>话时间高度吻合。本次股权转让事项的内幕信息不晚于20</w:t>
      </w:r>
      <w:r>
        <w:rPr>
          <w:spacing w:val="5"/>
        </w:rPr>
        <w:t>18年11</w:t>
      </w:r>
    </w:p>
    <w:p>
      <w:pPr>
        <w:spacing w:line="303" w:lineRule="auto"/>
        <w:sectPr>
          <w:footerReference w:type="default" r:id="rId3"/>
          <w:pgSz w:w="11900" w:h="16820"/>
          <w:pgMar w:top="1429" w:right="1484" w:bottom="1517" w:left="1519" w:header="0" w:footer="1209" w:gutter="0"/>
        </w:sectPr>
        <w:rPr/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right="103"/>
        <w:spacing w:before="100" w:line="328" w:lineRule="auto"/>
        <w:jc w:val="both"/>
        <w:rPr/>
      </w:pPr>
      <w:r>
        <w:rPr>
          <w:spacing w:val="9"/>
        </w:rPr>
        <w:t>月17日形成，八菱科技于12月6日晚间披露了本次股权转让的相</w:t>
      </w:r>
      <w:r>
        <w:rPr>
          <w:spacing w:val="7"/>
        </w:rPr>
        <w:t xml:space="preserve"> </w:t>
      </w:r>
      <w:r>
        <w:rPr>
          <w:spacing w:val="28"/>
        </w:rPr>
        <w:t>关信息，内幕信息敏感期为2018年11月17日至12月6日。12</w:t>
      </w:r>
      <w:r>
        <w:rPr>
          <w:spacing w:val="18"/>
        </w:rPr>
        <w:t xml:space="preserve"> </w:t>
      </w:r>
      <w:r>
        <w:rPr>
          <w:spacing w:val="43"/>
        </w:rPr>
        <w:t>月4日21点12分，顾某逵手机13061616487主叫陆叶手机</w:t>
      </w:r>
      <w:r>
        <w:rPr>
          <w:spacing w:val="2"/>
        </w:rPr>
        <w:t xml:space="preserve"> </w:t>
      </w:r>
      <w:r>
        <w:rPr>
          <w:spacing w:val="4"/>
        </w:rPr>
        <w:t>18217728816约46秒，12月5日，陆叶操作“陆某”证券</w:t>
      </w:r>
      <w:r>
        <w:rPr>
          <w:spacing w:val="3"/>
        </w:rPr>
        <w:t>账户连续</w:t>
      </w:r>
      <w:r>
        <w:rPr/>
        <w:t xml:space="preserve"> </w:t>
      </w:r>
      <w:r>
        <w:rPr>
          <w:spacing w:val="13"/>
        </w:rPr>
        <w:t>单向买入八菱科技股票，买入占比为100%,持股占比为1</w:t>
      </w:r>
      <w:r>
        <w:rPr>
          <w:spacing w:val="12"/>
        </w:rPr>
        <w:t>00%。</w:t>
      </w:r>
    </w:p>
    <w:p>
      <w:pPr>
        <w:pStyle w:val="BodyText"/>
        <w:ind w:firstLine="640"/>
        <w:spacing w:before="32" w:line="325" w:lineRule="auto"/>
        <w:jc w:val="both"/>
        <w:rPr/>
      </w:pPr>
      <w:r>
        <w:rPr>
          <w:spacing w:val="-7"/>
        </w:rPr>
        <w:t>二是存在新开户、转入资金后不交易其他股票、等待时机交易</w:t>
      </w:r>
      <w:r>
        <w:rPr>
          <w:spacing w:val="16"/>
        </w:rPr>
        <w:t xml:space="preserve"> </w:t>
      </w:r>
      <w:r>
        <w:rPr>
          <w:spacing w:val="7"/>
        </w:rPr>
        <w:t>八菱科技的情况。2018年11月17日内幕信息形成后，11月21日，</w:t>
      </w:r>
      <w:r>
        <w:rPr>
          <w:spacing w:val="5"/>
        </w:rPr>
        <w:t xml:space="preserve"> </w:t>
      </w:r>
      <w:r>
        <w:rPr>
          <w:spacing w:val="4"/>
        </w:rPr>
        <w:t>陆某开立普通证券账户，之后将该账户交陆叶控制并使用，11月</w:t>
      </w:r>
      <w:r>
        <w:rPr>
          <w:spacing w:val="12"/>
        </w:rPr>
        <w:t xml:space="preserve"> </w:t>
      </w:r>
      <w:r>
        <w:rPr>
          <w:spacing w:val="4"/>
        </w:rPr>
        <w:t>23日至11月29日转入资金合计16,500,000元，资金转入后未交易</w:t>
      </w:r>
      <w:r>
        <w:rPr>
          <w:spacing w:val="14"/>
        </w:rPr>
        <w:t xml:space="preserve"> </w:t>
      </w:r>
      <w:r>
        <w:rPr>
          <w:spacing w:val="5"/>
        </w:rPr>
        <w:t>任何股票或证券；11月26日开立“陆某”信用证券账户，11</w:t>
      </w:r>
      <w:r>
        <w:rPr>
          <w:spacing w:val="4"/>
        </w:rPr>
        <w:t>月29</w:t>
      </w:r>
      <w:r>
        <w:rPr/>
        <w:t xml:space="preserve"> </w:t>
      </w:r>
      <w:r>
        <w:rPr>
          <w:spacing w:val="5"/>
        </w:rPr>
        <w:t>日陆某普通证券账户里的16,500,000元转入信用账户，之后11月</w:t>
      </w:r>
      <w:r>
        <w:rPr/>
        <w:t xml:space="preserve"> </w:t>
      </w:r>
      <w:r>
        <w:rPr>
          <w:spacing w:val="24"/>
        </w:rPr>
        <w:t>29日、11月30日、12月3日、12月4日这个四个交易日未交易</w:t>
      </w:r>
      <w:r>
        <w:rPr>
          <w:spacing w:val="10"/>
        </w:rPr>
        <w:t xml:space="preserve"> </w:t>
      </w:r>
      <w:r>
        <w:rPr>
          <w:spacing w:val="-16"/>
        </w:rPr>
        <w:t>任何股票或证券。陆叶使用“陆某”账户在内幕信息确定后第一个交</w:t>
      </w:r>
      <w:r>
        <w:rPr>
          <w:spacing w:val="4"/>
        </w:rPr>
        <w:t xml:space="preserve"> </w:t>
      </w:r>
      <w:r>
        <w:rPr>
          <w:spacing w:val="21"/>
        </w:rPr>
        <w:t>易日(12月5日)大额买入八菱科技股票，成交金</w:t>
      </w:r>
      <w:r>
        <w:rPr>
          <w:spacing w:val="20"/>
        </w:rPr>
        <w:t>额巨大，转入</w:t>
      </w:r>
      <w:r>
        <w:rPr/>
        <w:t xml:space="preserve"> </w:t>
      </w:r>
      <w:r>
        <w:rPr>
          <w:spacing w:val="-7"/>
        </w:rPr>
        <w:t>资金等待时机买入八菱科技的行为明显。</w:t>
      </w:r>
    </w:p>
    <w:p>
      <w:pPr>
        <w:pStyle w:val="BodyText"/>
        <w:ind w:right="98" w:firstLine="640"/>
        <w:spacing w:before="136" w:line="328" w:lineRule="auto"/>
        <w:jc w:val="both"/>
        <w:rPr/>
      </w:pPr>
      <w:r>
        <w:rPr>
          <w:spacing w:val="-7"/>
        </w:rPr>
        <w:t>三是陆叶对其异常交易行为没有正当、合理的解释。陆叶在询</w:t>
      </w:r>
      <w:r>
        <w:rPr>
          <w:spacing w:val="4"/>
        </w:rPr>
        <w:t xml:space="preserve"> </w:t>
      </w:r>
      <w:r>
        <w:rPr>
          <w:spacing w:val="-16"/>
        </w:rPr>
        <w:t>问笔录中承认操作“陆某”证券账户交易八菱科技的事实，并称买八</w:t>
      </w:r>
      <w:r>
        <w:rPr/>
        <w:t xml:space="preserve"> </w:t>
      </w:r>
      <w:r>
        <w:rPr>
          <w:spacing w:val="-6"/>
        </w:rPr>
        <w:t>菱科技股票之前看到公告说公司有收购事项，当时好像是南京红太</w:t>
      </w:r>
      <w:r>
        <w:rPr>
          <w:spacing w:val="6"/>
        </w:rPr>
        <w:t xml:space="preserve"> </w:t>
      </w:r>
      <w:r>
        <w:rPr>
          <w:spacing w:val="10"/>
        </w:rPr>
        <w:t>阳要以20块钱收购八菱科技股票，12月5日看到八菱科技股</w:t>
      </w:r>
      <w:r>
        <w:rPr>
          <w:spacing w:val="9"/>
        </w:rPr>
        <w:t>价十</w:t>
      </w:r>
      <w:r>
        <w:rPr/>
        <w:t xml:space="preserve"> </w:t>
      </w:r>
      <w:r>
        <w:rPr>
          <w:spacing w:val="-5"/>
        </w:rPr>
        <w:t>多块钱就买了。该理由不足以解释异常交易行为。</w:t>
      </w:r>
    </w:p>
    <w:p>
      <w:pPr>
        <w:pStyle w:val="BodyText"/>
        <w:ind w:right="62" w:firstLine="640"/>
        <w:spacing w:before="61" w:line="299" w:lineRule="auto"/>
        <w:rPr/>
      </w:pPr>
      <w:r>
        <w:rPr>
          <w:spacing w:val="-6"/>
        </w:rPr>
        <w:t>上述违法事实，有八菱科技相关公告和文件、证券和银行账户</w:t>
      </w:r>
      <w:r>
        <w:rPr>
          <w:spacing w:val="12"/>
        </w:rPr>
        <w:t xml:space="preserve"> </w:t>
      </w:r>
      <w:r>
        <w:rPr>
          <w:spacing w:val="-6"/>
        </w:rPr>
        <w:t>资料、银行账户流水、交易记录、通讯记录、微信记录、交易所计</w:t>
      </w:r>
    </w:p>
    <w:p>
      <w:pPr>
        <w:spacing w:line="299" w:lineRule="auto"/>
        <w:sectPr>
          <w:footerReference w:type="default" r:id="rId4"/>
          <w:pgSz w:w="11900" w:h="16820"/>
          <w:pgMar w:top="1429" w:right="1345" w:bottom="1637" w:left="1629" w:header="0" w:footer="1329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98" w:line="222" w:lineRule="auto"/>
        <w:rPr>
          <w:sz w:val="30"/>
          <w:szCs w:val="30"/>
        </w:rPr>
      </w:pPr>
      <w:r>
        <w:rPr>
          <w:sz w:val="30"/>
          <w:szCs w:val="30"/>
          <w:spacing w:val="6"/>
        </w:rPr>
        <w:t>算数据以及相关人员询问笔录等证据证明，足以认定。</w:t>
      </w:r>
    </w:p>
    <w:p>
      <w:pPr>
        <w:pStyle w:val="BodyText"/>
        <w:ind w:firstLine="629"/>
        <w:spacing w:before="190" w:line="338" w:lineRule="auto"/>
        <w:jc w:val="both"/>
        <w:rPr>
          <w:sz w:val="30"/>
          <w:szCs w:val="30"/>
        </w:rPr>
      </w:pPr>
      <w:r>
        <w:rPr>
          <w:sz w:val="30"/>
          <w:szCs w:val="30"/>
          <w:spacing w:val="4"/>
        </w:rPr>
        <w:t>我局认为，陆叶与内幕信息知情人顾某逵在内幕信息敏感期内</w:t>
      </w:r>
      <w:r>
        <w:rPr>
          <w:sz w:val="30"/>
          <w:szCs w:val="30"/>
          <w:spacing w:val="18"/>
        </w:rPr>
        <w:t xml:space="preserve"> </w:t>
      </w:r>
      <w:r>
        <w:rPr>
          <w:sz w:val="30"/>
          <w:szCs w:val="30"/>
          <w:spacing w:val="-10"/>
        </w:rPr>
        <w:t>有通话联络，交易“八菱科技”行为明显异常</w:t>
      </w:r>
      <w:r>
        <w:rPr>
          <w:sz w:val="30"/>
          <w:szCs w:val="30"/>
          <w:spacing w:val="-11"/>
        </w:rPr>
        <w:t>，与内幕信息高度吻合，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spacing w:val="4"/>
        </w:rPr>
        <w:t>且不能作出合理说明或者提供证据排除其利用内幕信息。陆叶上述</w:t>
      </w:r>
      <w:r>
        <w:rPr>
          <w:sz w:val="30"/>
          <w:szCs w:val="30"/>
          <w:spacing w:val="7"/>
        </w:rPr>
        <w:t xml:space="preserve">  </w:t>
      </w:r>
      <w:r>
        <w:rPr>
          <w:sz w:val="30"/>
          <w:szCs w:val="30"/>
          <w:spacing w:val="15"/>
        </w:rPr>
        <w:t>行为违反了2005年《证券法》第七十三条、第七十六条第一款的</w:t>
      </w:r>
      <w:r>
        <w:rPr>
          <w:sz w:val="30"/>
          <w:szCs w:val="30"/>
          <w:spacing w:val="8"/>
        </w:rPr>
        <w:t xml:space="preserve"> </w:t>
      </w:r>
      <w:r>
        <w:rPr>
          <w:sz w:val="30"/>
          <w:szCs w:val="30"/>
          <w:spacing w:val="9"/>
        </w:rPr>
        <w:t>规定，构成2005年《证券法》第二百零二条所述的内幕交易行为。</w:t>
      </w:r>
    </w:p>
    <w:p>
      <w:pPr>
        <w:pStyle w:val="BodyText"/>
        <w:ind w:right="126" w:firstLine="629"/>
        <w:spacing w:before="60" w:line="360" w:lineRule="auto"/>
        <w:rPr>
          <w:sz w:val="25"/>
          <w:szCs w:val="25"/>
        </w:rPr>
      </w:pPr>
      <w:r>
        <w:rPr>
          <w:sz w:val="30"/>
          <w:szCs w:val="30"/>
          <w:spacing w:val="16"/>
        </w:rPr>
        <w:t>陆叶及其代理人在书面陈述申辩材料及听证过程中提出如下</w:t>
      </w:r>
      <w:r>
        <w:rPr>
          <w:sz w:val="30"/>
          <w:szCs w:val="30"/>
          <w:spacing w:val="6"/>
        </w:rPr>
        <w:t xml:space="preserve"> </w:t>
      </w:r>
      <w:r>
        <w:rPr>
          <w:sz w:val="25"/>
          <w:szCs w:val="25"/>
          <w:spacing w:val="26"/>
        </w:rPr>
        <w:t>申辩意见</w:t>
      </w:r>
      <w:r>
        <w:rPr>
          <w:sz w:val="25"/>
          <w:szCs w:val="25"/>
          <w:spacing w:val="-65"/>
        </w:rPr>
        <w:t xml:space="preserve"> </w:t>
      </w:r>
      <w:r>
        <w:rPr>
          <w:sz w:val="25"/>
          <w:szCs w:val="25"/>
          <w:spacing w:val="26"/>
        </w:rPr>
        <w:t>：</w:t>
      </w:r>
    </w:p>
    <w:p>
      <w:pPr>
        <w:pStyle w:val="BodyText"/>
        <w:ind w:right="125" w:firstLine="629"/>
        <w:spacing w:before="44" w:line="341" w:lineRule="auto"/>
        <w:jc w:val="both"/>
        <w:rPr>
          <w:sz w:val="30"/>
          <w:szCs w:val="30"/>
        </w:rPr>
      </w:pPr>
      <w:r>
        <w:rPr>
          <w:sz w:val="30"/>
          <w:szCs w:val="30"/>
          <w:spacing w:val="-7"/>
        </w:rPr>
        <w:t>其一，陆叶交易“八菱科技”的行为不存在异常性，</w:t>
      </w:r>
      <w:r>
        <w:rPr>
          <w:sz w:val="30"/>
          <w:szCs w:val="30"/>
          <w:spacing w:val="-8"/>
        </w:rPr>
        <w:t>符合其以往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spacing w:val="-5"/>
        </w:rPr>
        <w:t>交易习惯。其二，陆叶交易“八菱科技”有合理理由，与内幕信息无</w:t>
      </w:r>
      <w:r>
        <w:rPr>
          <w:sz w:val="30"/>
          <w:szCs w:val="30"/>
          <w:spacing w:val="3"/>
        </w:rPr>
        <w:t xml:space="preserve"> </w:t>
      </w:r>
      <w:r>
        <w:rPr>
          <w:sz w:val="30"/>
          <w:szCs w:val="30"/>
          <w:spacing w:val="6"/>
        </w:rPr>
        <w:t>关。其三，当事人认为处罚幅度不合适，请求从轻处</w:t>
      </w:r>
      <w:r>
        <w:rPr>
          <w:sz w:val="30"/>
          <w:szCs w:val="30"/>
          <w:spacing w:val="5"/>
        </w:rPr>
        <w:t>罚。</w:t>
      </w:r>
    </w:p>
    <w:p>
      <w:pPr>
        <w:pStyle w:val="BodyText"/>
        <w:ind w:left="629"/>
        <w:spacing w:before="45" w:line="222" w:lineRule="auto"/>
        <w:rPr>
          <w:sz w:val="30"/>
          <w:szCs w:val="30"/>
        </w:rPr>
      </w:pPr>
      <w:r>
        <w:rPr>
          <w:sz w:val="30"/>
          <w:szCs w:val="30"/>
          <w:spacing w:val="-2"/>
        </w:rPr>
        <w:t>经复核，我局认为：</w:t>
      </w:r>
    </w:p>
    <w:p>
      <w:pPr>
        <w:pStyle w:val="BodyText"/>
        <w:ind w:right="104" w:firstLine="629"/>
        <w:spacing w:before="190" w:line="339" w:lineRule="auto"/>
        <w:rPr>
          <w:sz w:val="30"/>
          <w:szCs w:val="30"/>
        </w:rPr>
      </w:pPr>
      <w:r>
        <w:rPr>
          <w:sz w:val="30"/>
          <w:szCs w:val="30"/>
          <w:spacing w:val="29"/>
        </w:rPr>
        <w:t>其一，本案中，2018年12月4日20点43分，内幕信息</w:t>
      </w:r>
      <w:r>
        <w:rPr>
          <w:sz w:val="30"/>
          <w:szCs w:val="30"/>
          <w:spacing w:val="28"/>
        </w:rPr>
        <w:t>知情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spacing w:val="18"/>
        </w:rPr>
        <w:t>人顾某逵收到微信通知，确定将于12月6日签订股权转让协议，</w:t>
      </w:r>
      <w:r>
        <w:rPr>
          <w:sz w:val="30"/>
          <w:szCs w:val="30"/>
          <w:spacing w:val="6"/>
        </w:rPr>
        <w:t xml:space="preserve"> </w:t>
      </w:r>
      <w:r>
        <w:rPr>
          <w:sz w:val="30"/>
          <w:szCs w:val="30"/>
          <w:spacing w:val="9"/>
        </w:rPr>
        <w:t>随后21点12分电话联系陆叶。12月5日，陆叶操作“陆某”证券账</w:t>
      </w:r>
      <w:r>
        <w:rPr>
          <w:sz w:val="30"/>
          <w:szCs w:val="30"/>
          <w:spacing w:val="5"/>
        </w:rPr>
        <w:t xml:space="preserve"> </w:t>
      </w:r>
      <w:r>
        <w:rPr>
          <w:sz w:val="30"/>
          <w:szCs w:val="30"/>
          <w:spacing w:val="-14"/>
        </w:rPr>
        <w:t>户连续单向大额买入“八菱科技”。陆叶交易“八菱科技”的时点、内</w:t>
      </w:r>
      <w:r>
        <w:rPr>
          <w:sz w:val="30"/>
          <w:szCs w:val="30"/>
          <w:spacing w:val="8"/>
        </w:rPr>
        <w:t xml:space="preserve"> </w:t>
      </w:r>
      <w:r>
        <w:rPr>
          <w:sz w:val="30"/>
          <w:szCs w:val="30"/>
          <w:spacing w:val="5"/>
        </w:rPr>
        <w:t>幕信息形成发展时点以及与内幕信息知情人联络时点高度吻合，交</w:t>
      </w:r>
      <w:r>
        <w:rPr>
          <w:sz w:val="30"/>
          <w:szCs w:val="30"/>
          <w:spacing w:val="9"/>
        </w:rPr>
        <w:t xml:space="preserve"> </w:t>
      </w:r>
      <w:r>
        <w:rPr>
          <w:sz w:val="30"/>
          <w:szCs w:val="30"/>
          <w:spacing w:val="-3"/>
        </w:rPr>
        <w:t>易行为明显异常。</w:t>
      </w:r>
    </w:p>
    <w:p>
      <w:pPr>
        <w:pStyle w:val="BodyText"/>
        <w:ind w:right="110" w:firstLine="629"/>
        <w:spacing w:before="82" w:line="330" w:lineRule="auto"/>
        <w:jc w:val="both"/>
        <w:rPr>
          <w:sz w:val="30"/>
          <w:szCs w:val="30"/>
        </w:rPr>
      </w:pPr>
      <w:r>
        <w:rPr>
          <w:sz w:val="30"/>
          <w:szCs w:val="30"/>
          <w:spacing w:val="-6"/>
        </w:rPr>
        <w:t>其二，陆叶关于依靠公司公告信息独立判断买入“八</w:t>
      </w:r>
      <w:r>
        <w:rPr>
          <w:sz w:val="30"/>
          <w:szCs w:val="30"/>
          <w:spacing w:val="-7"/>
        </w:rPr>
        <w:t>菱科技”的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spacing w:val="6"/>
        </w:rPr>
        <w:t>理由，不能合理解释其利用他人新开立证券账户、大笔</w:t>
      </w:r>
      <w:r>
        <w:rPr>
          <w:sz w:val="30"/>
          <w:szCs w:val="30"/>
          <w:spacing w:val="5"/>
        </w:rPr>
        <w:t>转入资金、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spacing w:val="16"/>
        </w:rPr>
        <w:t>交易时间与内幕信息形成及陆叶与内幕信息知情人通话联络时间</w:t>
      </w:r>
      <w:r>
        <w:rPr>
          <w:sz w:val="30"/>
          <w:szCs w:val="30"/>
          <w:spacing w:val="11"/>
        </w:rPr>
        <w:t xml:space="preserve"> </w:t>
      </w:r>
      <w:r>
        <w:rPr>
          <w:sz w:val="30"/>
          <w:szCs w:val="30"/>
          <w:spacing w:val="5"/>
        </w:rPr>
        <w:t>高度吻合等明显异常情形。陆叶未能作出合理说明或者提供证据排</w:t>
      </w:r>
    </w:p>
    <w:p>
      <w:pPr>
        <w:spacing w:line="330" w:lineRule="auto"/>
        <w:sectPr>
          <w:footerReference w:type="default" r:id="rId5"/>
          <w:pgSz w:w="11900" w:h="16820"/>
          <w:pgMar w:top="1429" w:right="1379" w:bottom="1438" w:left="1539" w:header="0" w:footer="1142" w:gutter="0"/>
        </w:sectPr>
        <w:rPr>
          <w:sz w:val="30"/>
          <w:szCs w:val="3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"/>
        <w:spacing w:before="94" w:line="221" w:lineRule="auto"/>
        <w:rPr>
          <w:sz w:val="29"/>
          <w:szCs w:val="29"/>
        </w:rPr>
      </w:pPr>
      <w:r>
        <w:rPr>
          <w:sz w:val="29"/>
          <w:szCs w:val="29"/>
          <w:spacing w:val="-6"/>
        </w:rPr>
        <w:t>除其利用内幕信息交易“八菱科技”。</w:t>
      </w:r>
    </w:p>
    <w:p>
      <w:pPr>
        <w:pStyle w:val="BodyText"/>
        <w:ind w:left="19" w:right="69" w:firstLine="619"/>
        <w:spacing w:before="223" w:line="347" w:lineRule="auto"/>
        <w:rPr>
          <w:sz w:val="29"/>
          <w:szCs w:val="29"/>
        </w:rPr>
      </w:pPr>
      <w:r>
        <w:rPr>
          <w:sz w:val="29"/>
          <w:szCs w:val="29"/>
          <w:spacing w:val="13"/>
        </w:rPr>
        <w:t>其三，处罚幅度综合考量了陆叶配合程度、非法获利金额、社</w:t>
      </w:r>
      <w:r>
        <w:rPr>
          <w:sz w:val="29"/>
          <w:szCs w:val="29"/>
          <w:spacing w:val="9"/>
        </w:rPr>
        <w:t xml:space="preserve"> </w:t>
      </w:r>
      <w:r>
        <w:rPr>
          <w:sz w:val="29"/>
          <w:szCs w:val="29"/>
          <w:spacing w:val="14"/>
        </w:rPr>
        <w:t>会危害程度等多种因素，本案也没有法定从轻或减轻处罚情节</w:t>
      </w:r>
      <w:r>
        <w:rPr>
          <w:sz w:val="29"/>
          <w:szCs w:val="29"/>
          <w:spacing w:val="13"/>
        </w:rPr>
        <w:t>。陆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spacing w:val="13"/>
        </w:rPr>
        <w:t>叶及其代理人提出的从轻处罚申辩意见于法无据。</w:t>
      </w:r>
    </w:p>
    <w:p>
      <w:pPr>
        <w:pStyle w:val="BodyText"/>
        <w:ind w:left="639"/>
        <w:spacing w:before="36" w:line="222" w:lineRule="auto"/>
        <w:rPr>
          <w:sz w:val="29"/>
          <w:szCs w:val="29"/>
        </w:rPr>
      </w:pPr>
      <w:r>
        <w:rPr>
          <w:sz w:val="29"/>
          <w:szCs w:val="29"/>
          <w:spacing w:val="14"/>
        </w:rPr>
        <w:t>综上，我局对当事人上述申辩意见不予采纳。</w:t>
      </w:r>
    </w:p>
    <w:p>
      <w:pPr>
        <w:pStyle w:val="BodyText"/>
        <w:ind w:left="19" w:right="74" w:firstLine="619"/>
        <w:spacing w:before="219" w:line="355" w:lineRule="auto"/>
        <w:rPr>
          <w:sz w:val="29"/>
          <w:szCs w:val="29"/>
        </w:rPr>
      </w:pPr>
      <w:r>
        <w:rPr>
          <w:sz w:val="29"/>
          <w:szCs w:val="29"/>
          <w:spacing w:val="13"/>
        </w:rPr>
        <w:t>根据当事人违法行为的事实、性质、情节与社会危害程度，依</w:t>
      </w:r>
      <w:r>
        <w:rPr>
          <w:sz w:val="29"/>
          <w:szCs w:val="29"/>
          <w:spacing w:val="8"/>
        </w:rPr>
        <w:t xml:space="preserve"> </w:t>
      </w:r>
      <w:r>
        <w:rPr>
          <w:sz w:val="29"/>
          <w:szCs w:val="29"/>
          <w:spacing w:val="23"/>
        </w:rPr>
        <w:t>据2005年《证券法》第二百零二条的规定，我局决定：没收</w:t>
      </w:r>
      <w:r>
        <w:rPr>
          <w:sz w:val="29"/>
          <w:szCs w:val="29"/>
          <w:spacing w:val="22"/>
        </w:rPr>
        <w:t>陆叶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spacing w:val="5"/>
        </w:rPr>
        <w:t>违法所得3,419,861.96元，并处以10,259,585.88元罚款。</w:t>
      </w:r>
    </w:p>
    <w:p>
      <w:pPr>
        <w:pStyle w:val="BodyText"/>
        <w:ind w:left="19" w:firstLine="619"/>
        <w:spacing w:before="12" w:line="353" w:lineRule="auto"/>
        <w:rPr>
          <w:sz w:val="29"/>
          <w:szCs w:val="29"/>
        </w:rPr>
      </w:pPr>
      <w:r>
        <w:rPr>
          <w:sz w:val="29"/>
          <w:szCs w:val="29"/>
          <w:spacing w:val="24"/>
        </w:rPr>
        <w:t>上述当事人应自收到本处罚决定书之日起15日内，将罚</w:t>
      </w:r>
      <w:r>
        <w:rPr>
          <w:sz w:val="29"/>
          <w:szCs w:val="29"/>
          <w:spacing w:val="23"/>
        </w:rPr>
        <w:t>款汇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spacing w:val="6"/>
        </w:rPr>
        <w:t>交中国证券监督管理委员会，开户银行：中信银行北京分行营业部，</w:t>
      </w:r>
      <w:r>
        <w:rPr>
          <w:sz w:val="29"/>
          <w:szCs w:val="29"/>
          <w:spacing w:val="3"/>
        </w:rPr>
        <w:t xml:space="preserve"> </w:t>
      </w:r>
      <w:r>
        <w:rPr>
          <w:sz w:val="29"/>
          <w:szCs w:val="29"/>
          <w:spacing w:val="19"/>
        </w:rPr>
        <w:t>账号：7111010189800000162,由该行直接上缴国库，</w:t>
      </w:r>
      <w:r>
        <w:rPr>
          <w:sz w:val="29"/>
          <w:szCs w:val="29"/>
          <w:spacing w:val="18"/>
        </w:rPr>
        <w:t>并将注有当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spacing w:val="25"/>
        </w:rPr>
        <w:t>事人名称的付款凭证复印件送中国证券监督</w:t>
      </w:r>
      <w:r>
        <w:rPr>
          <w:sz w:val="29"/>
          <w:szCs w:val="29"/>
          <w:spacing w:val="24"/>
        </w:rPr>
        <w:t>管理委员会行政处罚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spacing w:val="14"/>
        </w:rPr>
        <w:t>委员会办公室和云南证监局备案。当事人如果对本处罚决定不</w:t>
      </w:r>
      <w:r>
        <w:rPr>
          <w:sz w:val="29"/>
          <w:szCs w:val="29"/>
          <w:spacing w:val="13"/>
        </w:rPr>
        <w:t>服，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spacing w:val="24"/>
        </w:rPr>
        <w:t>可在收到本处罚决定书之日起60日内向中</w:t>
      </w:r>
      <w:r>
        <w:rPr>
          <w:sz w:val="29"/>
          <w:szCs w:val="29"/>
          <w:spacing w:val="23"/>
        </w:rPr>
        <w:t>国证券监督管理委员会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spacing w:val="17"/>
        </w:rPr>
        <w:t>申请行政复议，也可在收到本处罚决定书之日起6个月内直接向有</w:t>
      </w:r>
      <w:r>
        <w:rPr>
          <w:sz w:val="29"/>
          <w:szCs w:val="29"/>
          <w:spacing w:val="10"/>
        </w:rPr>
        <w:t xml:space="preserve"> </w:t>
      </w:r>
      <w:r>
        <w:rPr>
          <w:sz w:val="29"/>
          <w:szCs w:val="29"/>
          <w:spacing w:val="14"/>
        </w:rPr>
        <w:t>管辖权的人民法院提起行政诉讼。复议和诉讼期间</w:t>
      </w:r>
      <w:r>
        <w:rPr>
          <w:sz w:val="29"/>
          <w:szCs w:val="29"/>
          <w:spacing w:val="13"/>
        </w:rPr>
        <w:t>，上述决定不停</w:t>
      </w:r>
    </w:p>
    <w:p>
      <w:pPr>
        <w:pStyle w:val="BodyText"/>
        <w:ind w:left="19"/>
        <w:spacing w:before="48" w:line="221" w:lineRule="auto"/>
        <w:rPr>
          <w:sz w:val="29"/>
          <w:szCs w:val="29"/>
        </w:rPr>
      </w:pPr>
      <w:r>
        <w:rPr>
          <w:sz w:val="29"/>
          <w:szCs w:val="29"/>
          <w:spacing w:val="1"/>
        </w:rPr>
        <w:t>止执行。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5229" w:right="1647" w:firstLine="399"/>
        <w:spacing w:before="124" w:line="273" w:lineRule="auto"/>
        <w:rPr>
          <w:rFonts w:ascii="SimSun" w:hAnsi="SimSun" w:eastAsia="SimSun" w:cs="SimSun"/>
          <w:sz w:val="34"/>
          <w:szCs w:val="34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3517853</wp:posOffset>
            </wp:positionH>
            <wp:positionV relativeFrom="paragraph">
              <wp:posOffset>-501743</wp:posOffset>
            </wp:positionV>
            <wp:extent cx="1600239" cy="154944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0239" cy="1549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  <w:szCs w:val="38"/>
          <w:spacing w:val="-1"/>
        </w:rPr>
        <w:t>南证监局</w:t>
      </w:r>
      <w:r>
        <w:rPr>
          <w:sz w:val="38"/>
          <w:szCs w:val="38"/>
          <w:spacing w:val="1"/>
        </w:rPr>
        <w:t xml:space="preserve"> </w:t>
      </w:r>
      <w:r>
        <w:rPr>
          <w:rFonts w:ascii="SimSun" w:hAnsi="SimSun" w:eastAsia="SimSun" w:cs="SimSun"/>
          <w:sz w:val="34"/>
          <w:szCs w:val="34"/>
          <w:spacing w:val="17"/>
        </w:rPr>
        <w:t>2020年8月26</w:t>
      </w:r>
    </w:p>
    <w:p>
      <w:pPr>
        <w:spacing w:before="107"/>
        <w:rPr/>
      </w:pPr>
      <w:r/>
    </w:p>
    <w:tbl>
      <w:tblPr>
        <w:tblStyle w:val="TableNormal"/>
        <w:tblW w:w="888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889"/>
      </w:tblGrid>
      <w:tr>
        <w:trPr>
          <w:trHeight w:val="420" w:hRule="atLeast"/>
        </w:trPr>
        <w:tc>
          <w:tcPr>
            <w:tcW w:w="88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09"/>
              <w:spacing w:before="105" w:line="201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2"/>
              </w:rPr>
              <w:t>抄送：会处罚委、会稽查局</w:t>
            </w:r>
          </w:p>
        </w:tc>
      </w:tr>
      <w:tr>
        <w:trPr>
          <w:trHeight w:val="459" w:hRule="atLeast"/>
        </w:trPr>
        <w:tc>
          <w:tcPr>
            <w:tcW w:w="88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29"/>
              <w:spacing w:before="95" w:line="219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3"/>
              </w:rPr>
              <w:t>中国证券监督管理委员会云南监管局        2020年8月26日印发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6"/>
      <w:pgSz w:w="11900" w:h="16820"/>
      <w:pgMar w:top="1429" w:right="1355" w:bottom="1543" w:left="1640" w:header="0" w:footer="125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170"/>
      <w:spacing w:line="177" w:lineRule="auto"/>
      <w:rPr>
        <w:rFonts w:ascii="SimSun" w:hAnsi="SimSun" w:eastAsia="SimSun" w:cs="SimSun"/>
        <w:sz w:val="29"/>
        <w:szCs w:val="29"/>
      </w:rPr>
    </w:pPr>
    <w:r>
      <w:rPr>
        <w:rFonts w:ascii="SimSun" w:hAnsi="SimSun" w:eastAsia="SimSun" w:cs="SimSun"/>
        <w:sz w:val="29"/>
        <w:szCs w:val="29"/>
        <w:spacing w:val="-3"/>
      </w:rPr>
      <w:t>—1—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6" w:lineRule="auto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3"/>
      </w:rPr>
      <w:t>—2—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jc w:val="right"/>
      <w:rPr>
        <w:rFonts w:ascii="SimSun" w:hAnsi="SimSun" w:eastAsia="SimSun" w:cs="SimSun"/>
        <w:sz w:val="31"/>
        <w:szCs w:val="31"/>
      </w:rPr>
    </w:pPr>
    <w:r>
      <w:rPr>
        <w:rFonts w:ascii="SimSun" w:hAnsi="SimSun" w:eastAsia="SimSun" w:cs="SimSun"/>
        <w:sz w:val="31"/>
        <w:szCs w:val="31"/>
        <w:spacing w:val="-26"/>
      </w:rPr>
      <w:t>—</w:t>
    </w:r>
    <w:r>
      <w:rPr>
        <w:rFonts w:ascii="SimSun" w:hAnsi="SimSun" w:eastAsia="SimSun" w:cs="SimSun"/>
        <w:sz w:val="31"/>
        <w:szCs w:val="31"/>
        <w:spacing w:val="-25"/>
      </w:rPr>
      <w:t>3</w:t>
    </w:r>
    <w:r>
      <w:rPr>
        <w:rFonts w:ascii="SimSun" w:hAnsi="SimSun" w:eastAsia="SimSun" w:cs="SimSun"/>
        <w:sz w:val="31"/>
        <w:szCs w:val="31"/>
        <w:spacing w:val="-9"/>
      </w:rPr>
      <w:t>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SimSun" w:hAnsi="SimSun" w:eastAsia="SimSun" w:cs="SimSun"/>
        <w:sz w:val="31"/>
        <w:szCs w:val="31"/>
      </w:rPr>
    </w:pPr>
    <w:r>
      <w:rPr>
        <w:rFonts w:ascii="SimSun" w:hAnsi="SimSun" w:eastAsia="SimSun" w:cs="SimSun"/>
        <w:sz w:val="31"/>
        <w:szCs w:val="31"/>
        <w:spacing w:val="-13"/>
      </w:rPr>
      <w:t>—4—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160"/>
      <w:spacing w:line="175" w:lineRule="auto"/>
      <w:rPr>
        <w:rFonts w:ascii="SimSun" w:hAnsi="SimSun" w:eastAsia="SimSun" w:cs="SimSun"/>
        <w:sz w:val="30"/>
        <w:szCs w:val="30"/>
      </w:rPr>
    </w:pPr>
    <w:r>
      <w:rPr>
        <w:rFonts w:ascii="SimSun" w:hAnsi="SimSun" w:eastAsia="SimSun" w:cs="SimSun"/>
        <w:sz w:val="30"/>
        <w:szCs w:val="30"/>
        <w:spacing w:val="-8"/>
      </w:rPr>
      <w:t>—5—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before="1" w:line="176" w:lineRule="auto"/>
      <w:rPr>
        <w:rFonts w:ascii="SimSun" w:hAnsi="SimSun" w:eastAsia="SimSun" w:cs="SimSun"/>
        <w:sz w:val="29"/>
        <w:szCs w:val="29"/>
      </w:rPr>
    </w:pPr>
    <w:r>
      <w:rPr>
        <w:rFonts w:ascii="SimSun" w:hAnsi="SimSun" w:eastAsia="SimSun" w:cs="SimSun"/>
        <w:sz w:val="29"/>
        <w:szCs w:val="29"/>
        <w:spacing w:val="-3"/>
      </w:rPr>
      <w:t>—6—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1.png"/><Relationship Id="rId6" Type="http://schemas.openxmlformats.org/officeDocument/2006/relationships/footer" Target="footer6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0" Type="http://schemas.openxmlformats.org/officeDocument/2006/relationships/fontTable" Target="fontTable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2025-01-19T11:15:59Z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2025-01-19T11:16:00</vt:filetime>
  </property>
  <property fmtid="{D5CDD505-2E9C-101B-9397-08002B2CF9AE}" pid="4" name="UsrData">
    <vt:lpwstr>678c6e6d0959d0001f1964ebwl</vt:lpwstr>
  </property>
</Properties>
</file>