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2E357" w14:textId="77777777" w:rsidR="00193703" w:rsidRPr="00193703" w:rsidRDefault="00193703" w:rsidP="00193703">
      <w:pPr>
        <w:widowControl/>
        <w:shd w:val="clear" w:color="auto" w:fill="FFFFFF"/>
        <w:spacing w:line="525" w:lineRule="atLeast"/>
        <w:jc w:val="center"/>
        <w:rPr>
          <w:rFonts w:ascii="微软雅黑" w:eastAsia="微软雅黑" w:hAnsi="微软雅黑" w:cs="宋体"/>
          <w:b/>
          <w:bCs/>
          <w:color w:val="0C5CB1"/>
          <w:kern w:val="0"/>
          <w:sz w:val="30"/>
          <w:szCs w:val="30"/>
        </w:rPr>
      </w:pPr>
      <w:r w:rsidRPr="00193703">
        <w:rPr>
          <w:rFonts w:ascii="微软雅黑" w:eastAsia="微软雅黑" w:hAnsi="微软雅黑" w:cs="宋体" w:hint="eastAsia"/>
          <w:b/>
          <w:bCs/>
          <w:color w:val="0C5CB1"/>
          <w:kern w:val="0"/>
          <w:sz w:val="30"/>
          <w:szCs w:val="30"/>
        </w:rPr>
        <w:t>中国证券监督管理委员会北京监管局行政处罚决定书（马彦文）</w:t>
      </w:r>
    </w:p>
    <w:p w14:paraId="4EF85C18" w14:textId="77777777" w:rsidR="00193703" w:rsidRPr="00193703" w:rsidRDefault="00193703" w:rsidP="00193703">
      <w:pPr>
        <w:widowControl/>
        <w:shd w:val="clear" w:color="auto" w:fill="FFFFFF"/>
        <w:jc w:val="center"/>
        <w:rPr>
          <w:rFonts w:ascii="宋体" w:eastAsia="宋体" w:hAnsi="宋体" w:cs="宋体"/>
          <w:color w:val="888888"/>
          <w:kern w:val="0"/>
          <w:sz w:val="18"/>
          <w:szCs w:val="18"/>
        </w:rPr>
      </w:pPr>
      <w:r w:rsidRPr="00193703">
        <w:rPr>
          <w:rFonts w:ascii="宋体" w:eastAsia="宋体" w:hAnsi="宋体" w:cs="宋体" w:hint="eastAsia"/>
          <w:color w:val="888888"/>
          <w:kern w:val="0"/>
          <w:sz w:val="18"/>
          <w:szCs w:val="18"/>
        </w:rPr>
        <w:t>时间：2016-12-21 来源：</w:t>
      </w:r>
    </w:p>
    <w:p w14:paraId="28F1D63E" w14:textId="77777777" w:rsidR="00193703" w:rsidRPr="00193703" w:rsidRDefault="00193703" w:rsidP="00193703">
      <w:pPr>
        <w:widowControl/>
        <w:shd w:val="clear" w:color="auto" w:fill="FFFFFF"/>
        <w:spacing w:after="90"/>
        <w:jc w:val="center"/>
        <w:rPr>
          <w:rFonts w:ascii="宋体" w:eastAsia="宋体" w:hAnsi="宋体" w:cs="宋体"/>
          <w:color w:val="333333"/>
          <w:kern w:val="0"/>
          <w:szCs w:val="21"/>
        </w:rPr>
      </w:pPr>
      <w:r w:rsidRPr="00193703">
        <w:rPr>
          <w:rFonts w:ascii="宋体" w:eastAsia="宋体" w:hAnsi="宋体" w:cs="宋体" w:hint="eastAsia"/>
          <w:color w:val="333333"/>
          <w:kern w:val="0"/>
          <w:szCs w:val="21"/>
        </w:rPr>
        <w:t>〔2016〕5号</w:t>
      </w:r>
    </w:p>
    <w:p w14:paraId="60B4D3F9"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w:t>
      </w:r>
    </w:p>
    <w:p w14:paraId="1434F44A"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当事人：马彦文，男，1967年10月出生，时任北京利德曼生化股份有限公司（以下简称利德</w:t>
      </w:r>
      <w:proofErr w:type="gramStart"/>
      <w:r w:rsidRPr="00193703">
        <w:rPr>
          <w:rFonts w:ascii="宋体" w:eastAsia="宋体" w:hAnsi="宋体" w:cs="宋体" w:hint="eastAsia"/>
          <w:color w:val="333333"/>
          <w:kern w:val="0"/>
          <w:szCs w:val="21"/>
        </w:rPr>
        <w:t>曼</w:t>
      </w:r>
      <w:proofErr w:type="gramEnd"/>
      <w:r w:rsidRPr="00193703">
        <w:rPr>
          <w:rFonts w:ascii="宋体" w:eastAsia="宋体" w:hAnsi="宋体" w:cs="宋体" w:hint="eastAsia"/>
          <w:color w:val="333333"/>
          <w:kern w:val="0"/>
          <w:szCs w:val="21"/>
        </w:rPr>
        <w:t>）董事。住址：北京市石景山区。</w:t>
      </w:r>
    </w:p>
    <w:p w14:paraId="4E8C85E3"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依据《中华人民共和国证券法》（以下简称《证券法》）的有关规定，我局对当事人马彦文内幕交易“利德曼”股票的行为进行了立案调查、审理，并依法向当事人告知了</w:t>
      </w:r>
      <w:proofErr w:type="gramStart"/>
      <w:r w:rsidRPr="00193703">
        <w:rPr>
          <w:rFonts w:ascii="宋体" w:eastAsia="宋体" w:hAnsi="宋体" w:cs="宋体" w:hint="eastAsia"/>
          <w:color w:val="333333"/>
          <w:kern w:val="0"/>
          <w:szCs w:val="21"/>
        </w:rPr>
        <w:t>作出</w:t>
      </w:r>
      <w:proofErr w:type="gramEnd"/>
      <w:r w:rsidRPr="00193703">
        <w:rPr>
          <w:rFonts w:ascii="宋体" w:eastAsia="宋体" w:hAnsi="宋体" w:cs="宋体" w:hint="eastAsia"/>
          <w:color w:val="333333"/>
          <w:kern w:val="0"/>
          <w:szCs w:val="21"/>
        </w:rPr>
        <w:t>行政处罚的事实、理由、依据及当事人依法享有的权利。当事人提交了陈述和申辩意见，未申请听证。本案现已调查、审理终结。</w:t>
      </w:r>
    </w:p>
    <w:p w14:paraId="7FF9287B"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经查明，马彦文存在以下违法事实：</w:t>
      </w:r>
    </w:p>
    <w:p w14:paraId="149300C8"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一、内幕交易</w:t>
      </w:r>
    </w:p>
    <w:p w14:paraId="6691A323"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（一）内幕信息的形成和公开过程</w:t>
      </w:r>
    </w:p>
    <w:p w14:paraId="7C2C758A"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经过前期寻找并购标的及对德赛诊断系统（上海）有限公司的初步筛查和分析，2013年12月18日利德曼</w:t>
      </w:r>
      <w:proofErr w:type="gramStart"/>
      <w:r w:rsidRPr="00193703">
        <w:rPr>
          <w:rFonts w:ascii="宋体" w:eastAsia="宋体" w:hAnsi="宋体" w:cs="宋体" w:hint="eastAsia"/>
          <w:color w:val="333333"/>
          <w:kern w:val="0"/>
          <w:szCs w:val="21"/>
        </w:rPr>
        <w:t>董秘牛某辉完成</w:t>
      </w:r>
      <w:proofErr w:type="gramEnd"/>
      <w:r w:rsidRPr="00193703">
        <w:rPr>
          <w:rFonts w:ascii="宋体" w:eastAsia="宋体" w:hAnsi="宋体" w:cs="宋体" w:hint="eastAsia"/>
          <w:color w:val="333333"/>
          <w:kern w:val="0"/>
          <w:szCs w:val="21"/>
        </w:rPr>
        <w:t>了《德赛诊断系统投资价值初步分析报告》。此后，利德</w:t>
      </w:r>
      <w:proofErr w:type="gramStart"/>
      <w:r w:rsidRPr="00193703">
        <w:rPr>
          <w:rFonts w:ascii="宋体" w:eastAsia="宋体" w:hAnsi="宋体" w:cs="宋体" w:hint="eastAsia"/>
          <w:color w:val="333333"/>
          <w:kern w:val="0"/>
          <w:szCs w:val="21"/>
        </w:rPr>
        <w:t>曼</w:t>
      </w:r>
      <w:proofErr w:type="gramEnd"/>
      <w:r w:rsidRPr="00193703">
        <w:rPr>
          <w:rFonts w:ascii="宋体" w:eastAsia="宋体" w:hAnsi="宋体" w:cs="宋体" w:hint="eastAsia"/>
          <w:color w:val="333333"/>
          <w:kern w:val="0"/>
          <w:szCs w:val="21"/>
        </w:rPr>
        <w:t>与Diagnostic Systems GmbH(以下简称德国德赛)进行了沟通。2014年5月5日至5月9日，利德</w:t>
      </w:r>
      <w:proofErr w:type="gramStart"/>
      <w:r w:rsidRPr="00193703">
        <w:rPr>
          <w:rFonts w:ascii="宋体" w:eastAsia="宋体" w:hAnsi="宋体" w:cs="宋体" w:hint="eastAsia"/>
          <w:color w:val="333333"/>
          <w:kern w:val="0"/>
          <w:szCs w:val="21"/>
        </w:rPr>
        <w:t>曼</w:t>
      </w:r>
      <w:proofErr w:type="gramEnd"/>
      <w:r w:rsidRPr="00193703">
        <w:rPr>
          <w:rFonts w:ascii="宋体" w:eastAsia="宋体" w:hAnsi="宋体" w:cs="宋体" w:hint="eastAsia"/>
          <w:color w:val="333333"/>
          <w:kern w:val="0"/>
          <w:szCs w:val="21"/>
        </w:rPr>
        <w:t>聘请中介机构进场，对德国德赛进行初步调研，了解目标公司的基本情况。2014年6月18日，利德</w:t>
      </w:r>
      <w:proofErr w:type="gramStart"/>
      <w:r w:rsidRPr="00193703">
        <w:rPr>
          <w:rFonts w:ascii="宋体" w:eastAsia="宋体" w:hAnsi="宋体" w:cs="宋体" w:hint="eastAsia"/>
          <w:color w:val="333333"/>
          <w:kern w:val="0"/>
          <w:szCs w:val="21"/>
        </w:rPr>
        <w:t>曼</w:t>
      </w:r>
      <w:proofErr w:type="gramEnd"/>
      <w:r w:rsidRPr="00193703">
        <w:rPr>
          <w:rFonts w:ascii="宋体" w:eastAsia="宋体" w:hAnsi="宋体" w:cs="宋体" w:hint="eastAsia"/>
          <w:color w:val="333333"/>
          <w:kern w:val="0"/>
          <w:szCs w:val="21"/>
        </w:rPr>
        <w:t>与德国德赛、华泰联合证券有限责任公司等重组参与方召开电话会议，就交易架构、下一步的工作安排等事项进行讨论，并形成备忘录。2014年7月2日，牛某</w:t>
      </w:r>
      <w:proofErr w:type="gramStart"/>
      <w:r w:rsidRPr="00193703">
        <w:rPr>
          <w:rFonts w:ascii="宋体" w:eastAsia="宋体" w:hAnsi="宋体" w:cs="宋体" w:hint="eastAsia"/>
          <w:color w:val="333333"/>
          <w:kern w:val="0"/>
          <w:szCs w:val="21"/>
        </w:rPr>
        <w:t>辉通过</w:t>
      </w:r>
      <w:proofErr w:type="gramEnd"/>
      <w:r w:rsidRPr="00193703">
        <w:rPr>
          <w:rFonts w:ascii="宋体" w:eastAsia="宋体" w:hAnsi="宋体" w:cs="宋体" w:hint="eastAsia"/>
          <w:color w:val="333333"/>
          <w:kern w:val="0"/>
          <w:szCs w:val="21"/>
        </w:rPr>
        <w:t>电子邮件向德国德赛发出《Binding Offer》（约束性报价）。2014年8月6日，利德</w:t>
      </w:r>
      <w:proofErr w:type="gramStart"/>
      <w:r w:rsidRPr="00193703">
        <w:rPr>
          <w:rFonts w:ascii="宋体" w:eastAsia="宋体" w:hAnsi="宋体" w:cs="宋体" w:hint="eastAsia"/>
          <w:color w:val="333333"/>
          <w:kern w:val="0"/>
          <w:szCs w:val="21"/>
        </w:rPr>
        <w:t>曼</w:t>
      </w:r>
      <w:proofErr w:type="gramEnd"/>
      <w:r w:rsidRPr="00193703">
        <w:rPr>
          <w:rFonts w:ascii="宋体" w:eastAsia="宋体" w:hAnsi="宋体" w:cs="宋体" w:hint="eastAsia"/>
          <w:color w:val="333333"/>
          <w:kern w:val="0"/>
          <w:szCs w:val="21"/>
        </w:rPr>
        <w:t>发布《停牌公告》（公告编号2014—049），称因筹备重大资产重组，公司股票停牌。</w:t>
      </w:r>
    </w:p>
    <w:p w14:paraId="50A62AB0"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2014年9月11日，利德</w:t>
      </w:r>
      <w:proofErr w:type="gramStart"/>
      <w:r w:rsidRPr="00193703">
        <w:rPr>
          <w:rFonts w:ascii="宋体" w:eastAsia="宋体" w:hAnsi="宋体" w:cs="宋体" w:hint="eastAsia"/>
          <w:color w:val="333333"/>
          <w:kern w:val="0"/>
          <w:szCs w:val="21"/>
        </w:rPr>
        <w:t>曼</w:t>
      </w:r>
      <w:proofErr w:type="gramEnd"/>
      <w:r w:rsidRPr="00193703">
        <w:rPr>
          <w:rFonts w:ascii="宋体" w:eastAsia="宋体" w:hAnsi="宋体" w:cs="宋体" w:hint="eastAsia"/>
          <w:color w:val="333333"/>
          <w:kern w:val="0"/>
          <w:szCs w:val="21"/>
        </w:rPr>
        <w:t>与德国德赛股东进行商务谈判，签订相关协议及文件。2014年9月12日，利德</w:t>
      </w:r>
      <w:proofErr w:type="gramStart"/>
      <w:r w:rsidRPr="00193703">
        <w:rPr>
          <w:rFonts w:ascii="宋体" w:eastAsia="宋体" w:hAnsi="宋体" w:cs="宋体" w:hint="eastAsia"/>
          <w:color w:val="333333"/>
          <w:kern w:val="0"/>
          <w:szCs w:val="21"/>
        </w:rPr>
        <w:t>曼</w:t>
      </w:r>
      <w:proofErr w:type="gramEnd"/>
      <w:r w:rsidRPr="00193703">
        <w:rPr>
          <w:rFonts w:ascii="宋体" w:eastAsia="宋体" w:hAnsi="宋体" w:cs="宋体" w:hint="eastAsia"/>
          <w:color w:val="333333"/>
          <w:kern w:val="0"/>
          <w:szCs w:val="21"/>
        </w:rPr>
        <w:t>召开第二届董事会第十九次会议，审议通过《关于现金收购德赛诊断系统（上海）有限公司25%股权和德赛诊断产品（上海）有限公司31%股权的议案》，并于2014年9月15日对外公告。2014年10月17日，公司股票复牌。2014年11月24日，利德</w:t>
      </w:r>
      <w:proofErr w:type="gramStart"/>
      <w:r w:rsidRPr="00193703">
        <w:rPr>
          <w:rFonts w:ascii="宋体" w:eastAsia="宋体" w:hAnsi="宋体" w:cs="宋体" w:hint="eastAsia"/>
          <w:color w:val="333333"/>
          <w:kern w:val="0"/>
          <w:szCs w:val="21"/>
        </w:rPr>
        <w:t>曼</w:t>
      </w:r>
      <w:proofErr w:type="gramEnd"/>
      <w:r w:rsidRPr="00193703">
        <w:rPr>
          <w:rFonts w:ascii="宋体" w:eastAsia="宋体" w:hAnsi="宋体" w:cs="宋体" w:hint="eastAsia"/>
          <w:color w:val="333333"/>
          <w:kern w:val="0"/>
          <w:szCs w:val="21"/>
        </w:rPr>
        <w:t>召开2014年第四次临时股东大会会议，审议批准通过该次重大资产重组相关事项。</w:t>
      </w:r>
    </w:p>
    <w:p w14:paraId="11C09003"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利德</w:t>
      </w:r>
      <w:proofErr w:type="gramStart"/>
      <w:r w:rsidRPr="00193703">
        <w:rPr>
          <w:rFonts w:ascii="宋体" w:eastAsia="宋体" w:hAnsi="宋体" w:cs="宋体" w:hint="eastAsia"/>
          <w:color w:val="333333"/>
          <w:kern w:val="0"/>
          <w:szCs w:val="21"/>
        </w:rPr>
        <w:t>曼</w:t>
      </w:r>
      <w:proofErr w:type="gramEnd"/>
      <w:r w:rsidRPr="00193703">
        <w:rPr>
          <w:rFonts w:ascii="宋体" w:eastAsia="宋体" w:hAnsi="宋体" w:cs="宋体" w:hint="eastAsia"/>
          <w:color w:val="333333"/>
          <w:kern w:val="0"/>
          <w:szCs w:val="21"/>
        </w:rPr>
        <w:t>2014年9月15日发布公告涉及的收购资产的事项，属于《证券法》第六十七条第二款第（二）项规定的重大事件，构成《证券法》第七十五条第二款第（一）项规定的内幕信息。内幕信息形成时间不晚于2014年6月18日，公开时间为2014年9月15日。内幕信息知情人包括利德曼董事长沈某仟、牛某辉等人。</w:t>
      </w:r>
    </w:p>
    <w:p w14:paraId="2361700D"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（二）内幕交易情况</w:t>
      </w:r>
    </w:p>
    <w:p w14:paraId="6C145599"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马彦文时任利德曼公司董事。2014年6月19日，马彦文参加了利德曼第二届董事会第十五次会议。此次会议的召开时间为本次重大资产重组敏感期开始日的第二天，参加人员包括沈某仟、牛某辉等内幕信息知情人。7月17日、24日、28日，马彦文和内幕信息知情人沈</w:t>
      </w:r>
      <w:proofErr w:type="gramStart"/>
      <w:r w:rsidRPr="00193703">
        <w:rPr>
          <w:rFonts w:ascii="宋体" w:eastAsia="宋体" w:hAnsi="宋体" w:cs="宋体" w:hint="eastAsia"/>
          <w:color w:val="333333"/>
          <w:kern w:val="0"/>
          <w:szCs w:val="21"/>
        </w:rPr>
        <w:t>某仟有过</w:t>
      </w:r>
      <w:proofErr w:type="gramEnd"/>
      <w:r w:rsidRPr="00193703">
        <w:rPr>
          <w:rFonts w:ascii="宋体" w:eastAsia="宋体" w:hAnsi="宋体" w:cs="宋体" w:hint="eastAsia"/>
          <w:color w:val="333333"/>
          <w:kern w:val="0"/>
          <w:szCs w:val="21"/>
        </w:rPr>
        <w:t>多次通话、接触。</w:t>
      </w:r>
    </w:p>
    <w:p w14:paraId="6324B53B"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lastRenderedPageBreak/>
        <w:t xml:space="preserve">　　内幕信息敏感期内，马彦文实际控制并操作“张某艳”证券账户累计买入“利德曼”158,956股，买入金额4,364,337.45元，实际收益901,967.79元；实际控制并操作“马某花”证券账户累计买入“利德曼”597,981股，买入金额15,903,681.93元，账户收益3,380,560.02元。</w:t>
      </w:r>
    </w:p>
    <w:p w14:paraId="124992F2"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上述交易行为明显异常：</w:t>
      </w:r>
    </w:p>
    <w:p w14:paraId="2B9700B8"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一是马彦文筹集资金主要用来买入“利德曼”股票。“张某艳”证券账户资金主要来源于马彦文及马彦文向他人的借款。</w:t>
      </w:r>
      <w:r w:rsidRPr="008F3325">
        <w:rPr>
          <w:rFonts w:ascii="宋体" w:eastAsia="宋体" w:hAnsi="宋体" w:cs="宋体" w:hint="eastAsia"/>
          <w:color w:val="333333"/>
          <w:kern w:val="0"/>
          <w:szCs w:val="21"/>
          <w:highlight w:val="yellow"/>
        </w:rPr>
        <w:t>2014年7月4日</w:t>
      </w:r>
      <w:r w:rsidRPr="00193703">
        <w:rPr>
          <w:rFonts w:ascii="宋体" w:eastAsia="宋体" w:hAnsi="宋体" w:cs="宋体" w:hint="eastAsia"/>
          <w:color w:val="333333"/>
          <w:kern w:val="0"/>
          <w:szCs w:val="21"/>
        </w:rPr>
        <w:t>，马彦文筹集资金120万后，当天即买入“利德曼”股票1,389,848元（含账户内其他资金），且全天仅集中买入“利德曼”一只股票。7月7日、8日，马彦文筹集资金358万后，</w:t>
      </w:r>
      <w:r w:rsidRPr="008F3325">
        <w:rPr>
          <w:rFonts w:ascii="宋体" w:eastAsia="宋体" w:hAnsi="宋体" w:cs="宋体" w:hint="eastAsia"/>
          <w:color w:val="333333"/>
          <w:kern w:val="0"/>
          <w:szCs w:val="21"/>
          <w:highlight w:val="yellow"/>
        </w:rPr>
        <w:t>7月8日</w:t>
      </w:r>
      <w:r w:rsidRPr="00193703">
        <w:rPr>
          <w:rFonts w:ascii="宋体" w:eastAsia="宋体" w:hAnsi="宋体" w:cs="宋体" w:hint="eastAsia"/>
          <w:color w:val="333333"/>
          <w:kern w:val="0"/>
          <w:szCs w:val="21"/>
        </w:rPr>
        <w:t>即买入“利德曼”股票2,723,446元。7月9日、10日，马彦文筹集资金65万元，</w:t>
      </w:r>
      <w:r w:rsidRPr="008F3325">
        <w:rPr>
          <w:rFonts w:ascii="宋体" w:eastAsia="宋体" w:hAnsi="宋体" w:cs="宋体" w:hint="eastAsia"/>
          <w:color w:val="333333"/>
          <w:kern w:val="0"/>
          <w:szCs w:val="21"/>
          <w:highlight w:val="yellow"/>
        </w:rPr>
        <w:t>7月11日</w:t>
      </w:r>
      <w:r w:rsidRPr="00193703">
        <w:rPr>
          <w:rFonts w:ascii="宋体" w:eastAsia="宋体" w:hAnsi="宋体" w:cs="宋体" w:hint="eastAsia"/>
          <w:color w:val="333333"/>
          <w:kern w:val="0"/>
          <w:szCs w:val="21"/>
        </w:rPr>
        <w:t>即买入“利德曼”股票259,359元。7月30 日，马彦文筹集资金1500万转入“马某花”证券账户，即开始买入“利德曼”股票，其中</w:t>
      </w:r>
      <w:r w:rsidRPr="008F3325">
        <w:rPr>
          <w:rFonts w:ascii="宋体" w:eastAsia="宋体" w:hAnsi="宋体" w:cs="宋体" w:hint="eastAsia"/>
          <w:color w:val="333333"/>
          <w:kern w:val="0"/>
          <w:szCs w:val="21"/>
          <w:highlight w:val="yellow"/>
        </w:rPr>
        <w:t>7月30日</w:t>
      </w:r>
      <w:r w:rsidRPr="00193703">
        <w:rPr>
          <w:rFonts w:ascii="宋体" w:eastAsia="宋体" w:hAnsi="宋体" w:cs="宋体" w:hint="eastAsia"/>
          <w:color w:val="333333"/>
          <w:kern w:val="0"/>
          <w:szCs w:val="21"/>
        </w:rPr>
        <w:t>买入3,436,895元，</w:t>
      </w:r>
      <w:r w:rsidRPr="008F3325">
        <w:rPr>
          <w:rFonts w:ascii="宋体" w:eastAsia="宋体" w:hAnsi="宋体" w:cs="宋体" w:hint="eastAsia"/>
          <w:color w:val="333333"/>
          <w:kern w:val="0"/>
          <w:szCs w:val="21"/>
          <w:highlight w:val="yellow"/>
        </w:rPr>
        <w:t>7月31日</w:t>
      </w:r>
      <w:r w:rsidRPr="00193703">
        <w:rPr>
          <w:rFonts w:ascii="宋体" w:eastAsia="宋体" w:hAnsi="宋体" w:cs="宋体" w:hint="eastAsia"/>
          <w:color w:val="333333"/>
          <w:kern w:val="0"/>
          <w:szCs w:val="21"/>
        </w:rPr>
        <w:t>买入2,189,919元，</w:t>
      </w:r>
      <w:r w:rsidRPr="008F3325">
        <w:rPr>
          <w:rFonts w:ascii="宋体" w:eastAsia="宋体" w:hAnsi="宋体" w:cs="宋体" w:hint="eastAsia"/>
          <w:color w:val="333333"/>
          <w:kern w:val="0"/>
          <w:szCs w:val="21"/>
          <w:highlight w:val="yellow"/>
        </w:rPr>
        <w:t>8月1日</w:t>
      </w:r>
      <w:r w:rsidRPr="00193703">
        <w:rPr>
          <w:rFonts w:ascii="宋体" w:eastAsia="宋体" w:hAnsi="宋体" w:cs="宋体" w:hint="eastAsia"/>
          <w:color w:val="333333"/>
          <w:kern w:val="0"/>
          <w:szCs w:val="21"/>
        </w:rPr>
        <w:t>买入542,610元，</w:t>
      </w:r>
      <w:r w:rsidRPr="008F3325">
        <w:rPr>
          <w:rFonts w:ascii="宋体" w:eastAsia="宋体" w:hAnsi="宋体" w:cs="宋体" w:hint="eastAsia"/>
          <w:color w:val="333333"/>
          <w:kern w:val="0"/>
          <w:szCs w:val="21"/>
          <w:highlight w:val="yellow"/>
        </w:rPr>
        <w:t>8月5日</w:t>
      </w:r>
      <w:r w:rsidRPr="00193703">
        <w:rPr>
          <w:rFonts w:ascii="宋体" w:eastAsia="宋体" w:hAnsi="宋体" w:cs="宋体" w:hint="eastAsia"/>
          <w:color w:val="333333"/>
          <w:kern w:val="0"/>
          <w:szCs w:val="21"/>
        </w:rPr>
        <w:t>买入885,643元。</w:t>
      </w:r>
    </w:p>
    <w:p w14:paraId="5B034C2A"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二是交易行为明显异常。“张某艳”证券账户2014年4月18日后未交易任何股票，2014年6月30日由马彦文使用，并于2014年7月4日集中、单一、大量买入“利德曼”51,300股。“马某花”证券账户2013年11月19日后未交易任何股票，2014年3月开始由马彦文使用，</w:t>
      </w:r>
      <w:r w:rsidRPr="008F3325">
        <w:rPr>
          <w:rFonts w:ascii="宋体" w:eastAsia="宋体" w:hAnsi="宋体" w:cs="宋体" w:hint="eastAsia"/>
          <w:color w:val="333333"/>
          <w:kern w:val="0"/>
          <w:szCs w:val="21"/>
          <w:highlight w:val="yellow"/>
        </w:rPr>
        <w:t>6月26日</w:t>
      </w:r>
      <w:r w:rsidRPr="00193703">
        <w:rPr>
          <w:rFonts w:ascii="宋体" w:eastAsia="宋体" w:hAnsi="宋体" w:cs="宋体" w:hint="eastAsia"/>
          <w:color w:val="333333"/>
          <w:kern w:val="0"/>
          <w:szCs w:val="21"/>
        </w:rPr>
        <w:t>买入“利德曼”335,836股，成交金额8,848,606元，内幕信息敏感期内大量交易“利德曼”股票。前述两个账户在内幕信息敏感期前均未交易过“利德曼”股票，在2014年6月26日至8月5日内大量买入“利德曼”股票。交易时点与利德曼内幕信息形成及公开过程基本一致，且交易量放大，存在明显异常。</w:t>
      </w:r>
    </w:p>
    <w:p w14:paraId="288DBF60"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马彦文对上述异常交易行为没有合理解释。</w:t>
      </w:r>
    </w:p>
    <w:p w14:paraId="60F390BA"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二、短线交易</w:t>
      </w:r>
    </w:p>
    <w:p w14:paraId="7B041B04"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马彦文担任利德曼董事期间，实际控制“马某花”证券账户、信用账户，在2014年8月1日至2015年2月2日，卖出“利德曼”514,263股，买入“利德曼”165,300股。</w:t>
      </w:r>
    </w:p>
    <w:p w14:paraId="678D546C"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以上情况有相关账户的开户、交易、资金流水、账户交易IP和MAC地址等记录，询问笔录、相关公告等证据证明。</w:t>
      </w:r>
    </w:p>
    <w:p w14:paraId="33ECA9B2"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马彦文的上述行为分别违反了《证券法》第七十三条、第七十六条第一款和第四十七条第一款规定，构成《证券法》第二百零二条、第一百九十五条所述的内幕交易、短线交易行为。</w:t>
      </w:r>
    </w:p>
    <w:p w14:paraId="1936F22D"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马彦文在陈述和申辩中，主要提出如下意见：对《证券法》不懂，但态度端正，希望减轻处罚。</w:t>
      </w:r>
    </w:p>
    <w:p w14:paraId="6BF55A06"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我局认为，马彦文所述理由不符合《中华人民共和国行政处罚法》第二十七条第一款关于从轻或者减轻行政处罚的情形。我局对马彦文的陈述申辩意见不予采纳。</w:t>
      </w:r>
    </w:p>
    <w:p w14:paraId="3E8B826E"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根据当事人违法行为的事实、性质、情节与社会危害程度，依据《证券法》第二百零二条、第一百九十五条规定，我局决定：</w:t>
      </w:r>
    </w:p>
    <w:p w14:paraId="09177F52"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一、没收马彦文内幕交易违法所得4,282,527.81元，并处12,847,583.43元罚款。</w:t>
      </w:r>
    </w:p>
    <w:p w14:paraId="657C1998"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二、对马彦文短线交易给予警告，并处7万元罚款。</w:t>
      </w:r>
    </w:p>
    <w:p w14:paraId="64EECDE2"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和北京证</w:t>
      </w:r>
      <w:r w:rsidRPr="00193703">
        <w:rPr>
          <w:rFonts w:ascii="宋体" w:eastAsia="宋体" w:hAnsi="宋体" w:cs="宋体" w:hint="eastAsia"/>
          <w:color w:val="333333"/>
          <w:kern w:val="0"/>
          <w:szCs w:val="21"/>
        </w:rPr>
        <w:lastRenderedPageBreak/>
        <w:t>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385D45FF"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w:t>
      </w:r>
    </w:p>
    <w:p w14:paraId="6D531AE1" w14:textId="77777777" w:rsidR="00193703" w:rsidRPr="00193703" w:rsidRDefault="00193703" w:rsidP="00193703">
      <w:pPr>
        <w:widowControl/>
        <w:shd w:val="clear" w:color="auto" w:fill="FFFFFF"/>
        <w:spacing w:before="90" w:after="90"/>
        <w:jc w:val="lef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　　</w:t>
      </w:r>
    </w:p>
    <w:p w14:paraId="283B2260" w14:textId="77777777" w:rsidR="00193703" w:rsidRPr="00193703" w:rsidRDefault="00193703" w:rsidP="00193703">
      <w:pPr>
        <w:widowControl/>
        <w:shd w:val="clear" w:color="auto" w:fill="FFFFFF"/>
        <w:spacing w:before="90" w:after="90"/>
        <w:jc w:val="right"/>
        <w:rPr>
          <w:rFonts w:ascii="宋体" w:eastAsia="宋体" w:hAnsi="宋体" w:cs="宋体"/>
          <w:color w:val="333333"/>
          <w:kern w:val="0"/>
          <w:szCs w:val="21"/>
        </w:rPr>
      </w:pPr>
      <w:r w:rsidRPr="00193703">
        <w:rPr>
          <w:rFonts w:ascii="宋体" w:eastAsia="宋体" w:hAnsi="宋体" w:cs="宋体" w:hint="eastAsia"/>
          <w:color w:val="333333"/>
          <w:kern w:val="0"/>
          <w:szCs w:val="21"/>
        </w:rPr>
        <w:t>中国证监会北京监管局</w:t>
      </w:r>
    </w:p>
    <w:p w14:paraId="7FA2816E" w14:textId="77777777" w:rsidR="00193703" w:rsidRPr="00193703" w:rsidRDefault="00193703" w:rsidP="00193703">
      <w:pPr>
        <w:widowControl/>
        <w:shd w:val="clear" w:color="auto" w:fill="FFFFFF"/>
        <w:spacing w:before="90"/>
        <w:jc w:val="right"/>
        <w:rPr>
          <w:rFonts w:ascii="宋体" w:eastAsia="宋体" w:hAnsi="宋体" w:cs="宋体"/>
          <w:color w:val="333333"/>
          <w:kern w:val="0"/>
          <w:szCs w:val="21"/>
        </w:rPr>
      </w:pPr>
      <w:r w:rsidRPr="00193703">
        <w:rPr>
          <w:rFonts w:ascii="宋体" w:eastAsia="宋体" w:hAnsi="宋体" w:cs="宋体" w:hint="eastAsia"/>
          <w:color w:val="333333"/>
          <w:kern w:val="0"/>
          <w:szCs w:val="21"/>
        </w:rPr>
        <w:t xml:space="preserve">2016年12月19日　</w:t>
      </w:r>
    </w:p>
    <w:p w14:paraId="6B0BAB6B"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5FAB0" w14:textId="77777777" w:rsidR="006D0984" w:rsidRDefault="006D0984" w:rsidP="008F3325">
      <w:r>
        <w:separator/>
      </w:r>
    </w:p>
  </w:endnote>
  <w:endnote w:type="continuationSeparator" w:id="0">
    <w:p w14:paraId="488F7537" w14:textId="77777777" w:rsidR="006D0984" w:rsidRDefault="006D0984" w:rsidP="008F3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F8C68" w14:textId="77777777" w:rsidR="006D0984" w:rsidRDefault="006D0984" w:rsidP="008F3325">
      <w:r>
        <w:separator/>
      </w:r>
    </w:p>
  </w:footnote>
  <w:footnote w:type="continuationSeparator" w:id="0">
    <w:p w14:paraId="423BDC28" w14:textId="77777777" w:rsidR="006D0984" w:rsidRDefault="006D0984" w:rsidP="008F33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03"/>
    <w:rsid w:val="00193703"/>
    <w:rsid w:val="005B683F"/>
    <w:rsid w:val="006D0984"/>
    <w:rsid w:val="008F3325"/>
    <w:rsid w:val="00B94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0C5CB"/>
  <w15:chartTrackingRefBased/>
  <w15:docId w15:val="{E7622EAE-A595-42DE-9305-DD1BDCDD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370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F332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F3325"/>
    <w:rPr>
      <w:sz w:val="18"/>
      <w:szCs w:val="18"/>
    </w:rPr>
  </w:style>
  <w:style w:type="paragraph" w:styleId="a6">
    <w:name w:val="footer"/>
    <w:basedOn w:val="a"/>
    <w:link w:val="a7"/>
    <w:uiPriority w:val="99"/>
    <w:unhideWhenUsed/>
    <w:rsid w:val="008F3325"/>
    <w:pPr>
      <w:tabs>
        <w:tab w:val="center" w:pos="4153"/>
        <w:tab w:val="right" w:pos="8306"/>
      </w:tabs>
      <w:snapToGrid w:val="0"/>
      <w:jc w:val="left"/>
    </w:pPr>
    <w:rPr>
      <w:sz w:val="18"/>
      <w:szCs w:val="18"/>
    </w:rPr>
  </w:style>
  <w:style w:type="character" w:customStyle="1" w:styleId="a7">
    <w:name w:val="页脚 字符"/>
    <w:basedOn w:val="a0"/>
    <w:link w:val="a6"/>
    <w:uiPriority w:val="99"/>
    <w:rsid w:val="008F33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240671">
      <w:bodyDiv w:val="1"/>
      <w:marLeft w:val="0"/>
      <w:marRight w:val="0"/>
      <w:marTop w:val="0"/>
      <w:marBottom w:val="0"/>
      <w:divBdr>
        <w:top w:val="none" w:sz="0" w:space="0" w:color="auto"/>
        <w:left w:val="none" w:sz="0" w:space="0" w:color="auto"/>
        <w:bottom w:val="none" w:sz="0" w:space="0" w:color="auto"/>
        <w:right w:val="none" w:sz="0" w:space="0" w:color="auto"/>
      </w:divBdr>
      <w:divsChild>
        <w:div w:id="2034187040">
          <w:marLeft w:val="0"/>
          <w:marRight w:val="0"/>
          <w:marTop w:val="0"/>
          <w:marBottom w:val="0"/>
          <w:divBdr>
            <w:top w:val="none" w:sz="0" w:space="23" w:color="auto"/>
            <w:left w:val="none" w:sz="0" w:space="31" w:color="auto"/>
            <w:bottom w:val="single" w:sz="12" w:space="11" w:color="CCCCCC"/>
            <w:right w:val="none" w:sz="0" w:space="31" w:color="auto"/>
          </w:divBdr>
        </w:div>
        <w:div w:id="1698583655">
          <w:marLeft w:val="0"/>
          <w:marRight w:val="0"/>
          <w:marTop w:val="0"/>
          <w:marBottom w:val="300"/>
          <w:divBdr>
            <w:top w:val="none" w:sz="0" w:space="0" w:color="auto"/>
            <w:left w:val="none" w:sz="0" w:space="0" w:color="auto"/>
            <w:bottom w:val="none" w:sz="0" w:space="0" w:color="auto"/>
            <w:right w:val="none" w:sz="0" w:space="0" w:color="auto"/>
          </w:divBdr>
        </w:div>
        <w:div w:id="75326142">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2021-09-27T16:25:00Z</dcterms:created>
  <dcterms:modified xsi:type="dcterms:W3CDTF">2021-09-29T08:18:00Z</dcterms:modified>
</cp:coreProperties>
</file>