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4320" w14:textId="77777777" w:rsidR="008777F2" w:rsidRPr="008777F2" w:rsidRDefault="008777F2" w:rsidP="008777F2">
      <w:pPr>
        <w:widowControl/>
        <w:shd w:val="clear" w:color="auto" w:fill="FFFFFF"/>
        <w:spacing w:line="525" w:lineRule="atLeast"/>
        <w:jc w:val="center"/>
        <w:rPr>
          <w:rFonts w:ascii="微软雅黑" w:eastAsia="微软雅黑" w:hAnsi="微软雅黑" w:cs="宋体"/>
          <w:b/>
          <w:bCs/>
          <w:color w:val="0C5CB1"/>
          <w:kern w:val="0"/>
          <w:sz w:val="30"/>
          <w:szCs w:val="30"/>
        </w:rPr>
      </w:pPr>
      <w:r w:rsidRPr="008777F2">
        <w:rPr>
          <w:rFonts w:ascii="微软雅黑" w:eastAsia="微软雅黑" w:hAnsi="微软雅黑" w:cs="宋体" w:hint="eastAsia"/>
          <w:b/>
          <w:bCs/>
          <w:color w:val="0C5CB1"/>
          <w:kern w:val="0"/>
          <w:sz w:val="30"/>
          <w:szCs w:val="30"/>
        </w:rPr>
        <w:t>中国证券监督管理委员会吉林监管局行政处罚决定书[2018]5号（管健）</w:t>
      </w:r>
    </w:p>
    <w:p w14:paraId="1656078E" w14:textId="77777777" w:rsidR="008777F2" w:rsidRPr="008777F2" w:rsidRDefault="008777F2" w:rsidP="008777F2">
      <w:pPr>
        <w:widowControl/>
        <w:shd w:val="clear" w:color="auto" w:fill="FFFFFF"/>
        <w:jc w:val="center"/>
        <w:rPr>
          <w:rFonts w:ascii="宋体" w:eastAsia="宋体" w:hAnsi="宋体" w:cs="宋体"/>
          <w:color w:val="888888"/>
          <w:kern w:val="0"/>
          <w:sz w:val="18"/>
          <w:szCs w:val="18"/>
        </w:rPr>
      </w:pPr>
      <w:r w:rsidRPr="008777F2">
        <w:rPr>
          <w:rFonts w:ascii="宋体" w:eastAsia="宋体" w:hAnsi="宋体" w:cs="宋体" w:hint="eastAsia"/>
          <w:color w:val="888888"/>
          <w:kern w:val="0"/>
          <w:sz w:val="18"/>
          <w:szCs w:val="18"/>
        </w:rPr>
        <w:t>时间：2018-12-29 来源：</w:t>
      </w:r>
    </w:p>
    <w:p w14:paraId="7D6C9FD5"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当事人：管健，男，1980年8月出生，住址：吉林省通化市东昌区。</w:t>
      </w:r>
    </w:p>
    <w:p w14:paraId="4B3CB8FF"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依据《中华人民共和国证券法》（以下简称《证券法》）的有关规定，我局</w:t>
      </w:r>
      <w:proofErr w:type="gramStart"/>
      <w:r w:rsidRPr="008777F2">
        <w:rPr>
          <w:rFonts w:ascii="宋体" w:eastAsia="宋体" w:hAnsi="宋体" w:cs="宋体" w:hint="eastAsia"/>
          <w:color w:val="333333"/>
          <w:kern w:val="0"/>
          <w:sz w:val="32"/>
          <w:szCs w:val="32"/>
        </w:rPr>
        <w:t>对管健内幕</w:t>
      </w:r>
      <w:proofErr w:type="gramEnd"/>
      <w:r w:rsidRPr="008777F2">
        <w:rPr>
          <w:rFonts w:ascii="宋体" w:eastAsia="宋体" w:hAnsi="宋体" w:cs="宋体" w:hint="eastAsia"/>
          <w:color w:val="333333"/>
          <w:kern w:val="0"/>
          <w:sz w:val="32"/>
          <w:szCs w:val="32"/>
        </w:rPr>
        <w:t>交易“双龙股份”行为进行了立案调查、审理，并依法向当事人告知了</w:t>
      </w:r>
      <w:proofErr w:type="gramStart"/>
      <w:r w:rsidRPr="008777F2">
        <w:rPr>
          <w:rFonts w:ascii="宋体" w:eastAsia="宋体" w:hAnsi="宋体" w:cs="宋体" w:hint="eastAsia"/>
          <w:color w:val="333333"/>
          <w:kern w:val="0"/>
          <w:sz w:val="32"/>
          <w:szCs w:val="32"/>
        </w:rPr>
        <w:t>作出</w:t>
      </w:r>
      <w:proofErr w:type="gramEnd"/>
      <w:r w:rsidRPr="008777F2">
        <w:rPr>
          <w:rFonts w:ascii="宋体" w:eastAsia="宋体" w:hAnsi="宋体" w:cs="宋体" w:hint="eastAsia"/>
          <w:color w:val="333333"/>
          <w:kern w:val="0"/>
          <w:sz w:val="32"/>
          <w:szCs w:val="32"/>
        </w:rPr>
        <w:t>行政处罚的事实、理由、依据及当事人依法享有的权利，当事人未提出陈述、申辩意见，也未要求听证。本案现已调查、审理终结。</w:t>
      </w:r>
    </w:p>
    <w:p w14:paraId="7391E9F9"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经查明，管健存在以下违法事实：</w:t>
      </w:r>
    </w:p>
    <w:p w14:paraId="3FC9DF68"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一、内幕信息的形成和公开过程</w:t>
      </w:r>
    </w:p>
    <w:p w14:paraId="3E8C6CA0"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通化双龙化工股份有限公司（下称双龙股份）收购吉林金宝药业股份有限公司（下称金宝药业）部分股权后，想做大医药产业。2017年3月23日，时任双龙股份董事长、总经理卢某奎，董事孙某，董事、董事会秘书、副总经理张某，董事王某恒4人在双龙股份2楼餐厅吃饭时聊到，可以考虑收购大健康产业相关的企业资源。2017年4月初，王某恒联系时任吉林海通制药有限公司（下称海通制药）董事长李某波，告知双龙股份想收购海通制药股权。2017年4月中旬，孙某、王某恒和钓鱼台医药集团吉</w:t>
      </w:r>
      <w:r w:rsidRPr="008777F2">
        <w:rPr>
          <w:rFonts w:ascii="宋体" w:eastAsia="宋体" w:hAnsi="宋体" w:cs="宋体" w:hint="eastAsia"/>
          <w:color w:val="333333"/>
          <w:kern w:val="0"/>
          <w:sz w:val="32"/>
          <w:szCs w:val="32"/>
        </w:rPr>
        <w:lastRenderedPageBreak/>
        <w:t>林天强制药股份有限公司（下</w:t>
      </w:r>
      <w:proofErr w:type="gramStart"/>
      <w:r w:rsidRPr="008777F2">
        <w:rPr>
          <w:rFonts w:ascii="宋体" w:eastAsia="宋体" w:hAnsi="宋体" w:cs="宋体" w:hint="eastAsia"/>
          <w:color w:val="333333"/>
          <w:kern w:val="0"/>
          <w:sz w:val="32"/>
          <w:szCs w:val="32"/>
        </w:rPr>
        <w:t>称天强制药</w:t>
      </w:r>
      <w:proofErr w:type="gramEnd"/>
      <w:r w:rsidRPr="008777F2">
        <w:rPr>
          <w:rFonts w:ascii="宋体" w:eastAsia="宋体" w:hAnsi="宋体" w:cs="宋体" w:hint="eastAsia"/>
          <w:color w:val="333333"/>
          <w:kern w:val="0"/>
          <w:sz w:val="32"/>
          <w:szCs w:val="32"/>
        </w:rPr>
        <w:t>）董事长颜某辉见面，商谈双龙股份</w:t>
      </w:r>
      <w:proofErr w:type="gramStart"/>
      <w:r w:rsidRPr="008777F2">
        <w:rPr>
          <w:rFonts w:ascii="宋体" w:eastAsia="宋体" w:hAnsi="宋体" w:cs="宋体" w:hint="eastAsia"/>
          <w:color w:val="333333"/>
          <w:kern w:val="0"/>
          <w:sz w:val="32"/>
          <w:szCs w:val="32"/>
        </w:rPr>
        <w:t>收购天强制药</w:t>
      </w:r>
      <w:proofErr w:type="gramEnd"/>
      <w:r w:rsidRPr="008777F2">
        <w:rPr>
          <w:rFonts w:ascii="宋体" w:eastAsia="宋体" w:hAnsi="宋体" w:cs="宋体" w:hint="eastAsia"/>
          <w:color w:val="333333"/>
          <w:kern w:val="0"/>
          <w:sz w:val="32"/>
          <w:szCs w:val="32"/>
        </w:rPr>
        <w:t>股权。2017年5月4日，王某恒与张某沟通双龙股份</w:t>
      </w:r>
      <w:proofErr w:type="gramStart"/>
      <w:r w:rsidRPr="008777F2">
        <w:rPr>
          <w:rFonts w:ascii="宋体" w:eastAsia="宋体" w:hAnsi="宋体" w:cs="宋体" w:hint="eastAsia"/>
          <w:color w:val="333333"/>
          <w:kern w:val="0"/>
          <w:sz w:val="32"/>
          <w:szCs w:val="32"/>
        </w:rPr>
        <w:t>收购天强制药</w:t>
      </w:r>
      <w:proofErr w:type="gramEnd"/>
      <w:r w:rsidRPr="008777F2">
        <w:rPr>
          <w:rFonts w:ascii="宋体" w:eastAsia="宋体" w:hAnsi="宋体" w:cs="宋体" w:hint="eastAsia"/>
          <w:color w:val="333333"/>
          <w:kern w:val="0"/>
          <w:sz w:val="32"/>
          <w:szCs w:val="32"/>
        </w:rPr>
        <w:t>和海通制药股权框架协议。2017年5月12日，双龙股份发布临时停牌公告，称公司“正在拟筹划购买资产的重大事项”，当日双龙股份股票停牌。2017年6月12日，双龙股份发布公告，称本次发行股份及支付现金购买资产初步确定为海通制药、</w:t>
      </w:r>
      <w:proofErr w:type="gramStart"/>
      <w:r w:rsidRPr="008777F2">
        <w:rPr>
          <w:rFonts w:ascii="宋体" w:eastAsia="宋体" w:hAnsi="宋体" w:cs="宋体" w:hint="eastAsia"/>
          <w:color w:val="333333"/>
          <w:kern w:val="0"/>
          <w:sz w:val="32"/>
          <w:szCs w:val="32"/>
        </w:rPr>
        <w:t>天强制药</w:t>
      </w:r>
      <w:proofErr w:type="gramEnd"/>
      <w:r w:rsidRPr="008777F2">
        <w:rPr>
          <w:rFonts w:ascii="宋体" w:eastAsia="宋体" w:hAnsi="宋体" w:cs="宋体" w:hint="eastAsia"/>
          <w:color w:val="333333"/>
          <w:kern w:val="0"/>
          <w:sz w:val="32"/>
          <w:szCs w:val="32"/>
        </w:rPr>
        <w:t>和金宝药业部分股份。</w:t>
      </w:r>
    </w:p>
    <w:p w14:paraId="2C3019C8"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双龙股份拟收购海通制药、</w:t>
      </w:r>
      <w:proofErr w:type="gramStart"/>
      <w:r w:rsidRPr="008777F2">
        <w:rPr>
          <w:rFonts w:ascii="宋体" w:eastAsia="宋体" w:hAnsi="宋体" w:cs="宋体" w:hint="eastAsia"/>
          <w:color w:val="333333"/>
          <w:kern w:val="0"/>
          <w:sz w:val="32"/>
          <w:szCs w:val="32"/>
        </w:rPr>
        <w:t>天强制药</w:t>
      </w:r>
      <w:proofErr w:type="gramEnd"/>
      <w:r w:rsidRPr="008777F2">
        <w:rPr>
          <w:rFonts w:ascii="宋体" w:eastAsia="宋体" w:hAnsi="宋体" w:cs="宋体" w:hint="eastAsia"/>
          <w:color w:val="333333"/>
          <w:kern w:val="0"/>
          <w:sz w:val="32"/>
          <w:szCs w:val="32"/>
        </w:rPr>
        <w:t>和金宝药业股权事项，构成《证券法》第六十七条第二款第二项规定的重大事件，在该信息公开前，属于《证券法》第七十五条第一款、第二款第一项规定的内幕信息。该内幕信息形成时间不晚于2017年3月23日，公开于2017年5月12日。时任</w:t>
      </w:r>
      <w:r w:rsidRPr="005C75C7">
        <w:rPr>
          <w:rFonts w:ascii="宋体" w:eastAsia="宋体" w:hAnsi="宋体" w:cs="宋体" w:hint="eastAsia"/>
          <w:color w:val="333333"/>
          <w:kern w:val="0"/>
          <w:sz w:val="32"/>
          <w:szCs w:val="32"/>
          <w:highlight w:val="yellow"/>
        </w:rPr>
        <w:t>双龙股份董事、董事会秘书、副总经理张某，董事王某恒</w:t>
      </w:r>
      <w:r w:rsidRPr="008777F2">
        <w:rPr>
          <w:rFonts w:ascii="宋体" w:eastAsia="宋体" w:hAnsi="宋体" w:cs="宋体" w:hint="eastAsia"/>
          <w:color w:val="333333"/>
          <w:kern w:val="0"/>
          <w:sz w:val="32"/>
          <w:szCs w:val="32"/>
        </w:rPr>
        <w:t>是内幕信息知情人。</w:t>
      </w:r>
    </w:p>
    <w:p w14:paraId="4C59D776"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二、管健内幕交易“双龙股份”</w:t>
      </w:r>
    </w:p>
    <w:p w14:paraId="2DABA07C"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（一）管健与内幕信息知情人联络接触</w:t>
      </w:r>
    </w:p>
    <w:p w14:paraId="2C388DFD" w14:textId="77777777" w:rsidR="008777F2" w:rsidRPr="008777F2" w:rsidRDefault="008777F2" w:rsidP="008777F2">
      <w:pPr>
        <w:widowControl/>
        <w:shd w:val="clear" w:color="auto" w:fill="FFFFFF"/>
        <w:spacing w:line="640" w:lineRule="atLeast"/>
        <w:ind w:firstLine="645"/>
        <w:jc w:val="left"/>
        <w:rPr>
          <w:rFonts w:ascii="宋体" w:eastAsia="宋体" w:hAnsi="宋体" w:cs="宋体"/>
          <w:color w:val="333333"/>
          <w:kern w:val="0"/>
          <w:szCs w:val="21"/>
        </w:rPr>
      </w:pPr>
      <w:r w:rsidRPr="005C75C7">
        <w:rPr>
          <w:rFonts w:ascii="宋体" w:eastAsia="宋体" w:hAnsi="宋体" w:cs="宋体" w:hint="eastAsia"/>
          <w:color w:val="000000"/>
          <w:kern w:val="0"/>
          <w:sz w:val="32"/>
          <w:szCs w:val="32"/>
          <w:highlight w:val="yellow"/>
        </w:rPr>
        <w:t>管健和内幕信息知情人张某是关系比较好的朋友。</w:t>
      </w:r>
      <w:r w:rsidRPr="008777F2">
        <w:rPr>
          <w:rFonts w:ascii="宋体" w:eastAsia="宋体" w:hAnsi="宋体" w:cs="宋体" w:hint="eastAsia"/>
          <w:color w:val="333333"/>
          <w:kern w:val="0"/>
          <w:sz w:val="32"/>
          <w:szCs w:val="32"/>
        </w:rPr>
        <w:t>2017年3月23日至2017年5月12日期间</w:t>
      </w:r>
      <w:r w:rsidRPr="008777F2">
        <w:rPr>
          <w:rFonts w:ascii="宋体" w:eastAsia="宋体" w:hAnsi="宋体" w:cs="宋体" w:hint="eastAsia"/>
          <w:color w:val="000000"/>
          <w:kern w:val="0"/>
          <w:sz w:val="32"/>
          <w:szCs w:val="32"/>
        </w:rPr>
        <w:t>，</w:t>
      </w:r>
      <w:proofErr w:type="gramStart"/>
      <w:r w:rsidRPr="008777F2">
        <w:rPr>
          <w:rFonts w:ascii="宋体" w:eastAsia="宋体" w:hAnsi="宋体" w:cs="宋体" w:hint="eastAsia"/>
          <w:color w:val="000000"/>
          <w:kern w:val="0"/>
          <w:sz w:val="32"/>
          <w:szCs w:val="32"/>
        </w:rPr>
        <w:t>管健和</w:t>
      </w:r>
      <w:proofErr w:type="gramEnd"/>
      <w:r w:rsidRPr="008777F2">
        <w:rPr>
          <w:rFonts w:ascii="宋体" w:eastAsia="宋体" w:hAnsi="宋体" w:cs="宋体" w:hint="eastAsia"/>
          <w:color w:val="000000"/>
          <w:kern w:val="0"/>
          <w:sz w:val="32"/>
          <w:szCs w:val="32"/>
        </w:rPr>
        <w:t>张某存在频繁的手机</w:t>
      </w:r>
      <w:proofErr w:type="gramStart"/>
      <w:r w:rsidRPr="008777F2">
        <w:rPr>
          <w:rFonts w:ascii="宋体" w:eastAsia="宋体" w:hAnsi="宋体" w:cs="宋体" w:hint="eastAsia"/>
          <w:color w:val="000000"/>
          <w:kern w:val="0"/>
          <w:sz w:val="32"/>
          <w:szCs w:val="32"/>
        </w:rPr>
        <w:t>通讯联络</w:t>
      </w:r>
      <w:proofErr w:type="gramEnd"/>
      <w:r w:rsidRPr="008777F2">
        <w:rPr>
          <w:rFonts w:ascii="宋体" w:eastAsia="宋体" w:hAnsi="宋体" w:cs="宋体" w:hint="eastAsia"/>
          <w:color w:val="000000"/>
          <w:kern w:val="0"/>
          <w:sz w:val="32"/>
          <w:szCs w:val="32"/>
        </w:rPr>
        <w:t>。2017年4月4日，管健主叫张某</w:t>
      </w:r>
      <w:r w:rsidRPr="008777F2">
        <w:rPr>
          <w:rFonts w:ascii="宋体" w:eastAsia="宋体" w:hAnsi="宋体" w:cs="宋体" w:hint="eastAsia"/>
          <w:color w:val="000000"/>
          <w:kern w:val="0"/>
          <w:sz w:val="32"/>
          <w:szCs w:val="32"/>
        </w:rPr>
        <w:lastRenderedPageBreak/>
        <w:t>2次</w:t>
      </w:r>
      <w:r w:rsidRPr="008777F2">
        <w:rPr>
          <w:rFonts w:ascii="宋体" w:eastAsia="宋体" w:hAnsi="宋体" w:cs="宋体" w:hint="eastAsia"/>
          <w:color w:val="333333"/>
          <w:kern w:val="0"/>
          <w:sz w:val="32"/>
          <w:szCs w:val="32"/>
        </w:rPr>
        <w:t>。2017年5月7日，</w:t>
      </w:r>
      <w:r w:rsidRPr="008777F2">
        <w:rPr>
          <w:rFonts w:ascii="宋体" w:eastAsia="宋体" w:hAnsi="宋体" w:cs="宋体" w:hint="eastAsia"/>
          <w:color w:val="000000"/>
          <w:kern w:val="0"/>
          <w:sz w:val="32"/>
          <w:szCs w:val="32"/>
        </w:rPr>
        <w:t>管健主叫张某3次、张某主叫管健1次。</w:t>
      </w:r>
    </w:p>
    <w:p w14:paraId="10ABEDB1"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（二）管健控制使用其本人账户交易“双龙股份”</w:t>
      </w:r>
    </w:p>
    <w:p w14:paraId="2ECA5D6B"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000000"/>
          <w:kern w:val="0"/>
          <w:sz w:val="32"/>
          <w:szCs w:val="32"/>
        </w:rPr>
        <w:t>“管健”证券账户于2010年4月2日开立。管健承认使用其本人账户交易“双龙股份”，管健交易“双龙股份”的资金来源于管健本人及其母张某琴。2017年4月6日、2017年5月11日，管健使用其本人账户合计买入“双龙股份”</w:t>
      </w:r>
      <w:r w:rsidRPr="008777F2">
        <w:rPr>
          <w:rFonts w:ascii="宋体" w:eastAsia="宋体" w:hAnsi="宋体" w:cs="宋体" w:hint="eastAsia"/>
          <w:color w:val="333333"/>
          <w:kern w:val="0"/>
          <w:sz w:val="32"/>
          <w:szCs w:val="32"/>
        </w:rPr>
        <w:t>291,297股，买入成交金额</w:t>
      </w:r>
      <w:r w:rsidRPr="008777F2">
        <w:rPr>
          <w:rFonts w:ascii="宋体" w:eastAsia="宋体" w:hAnsi="宋体" w:cs="宋体" w:hint="eastAsia"/>
          <w:color w:val="000000"/>
          <w:kern w:val="0"/>
          <w:sz w:val="32"/>
          <w:szCs w:val="32"/>
        </w:rPr>
        <w:t>2,442,394.33元。</w:t>
      </w:r>
      <w:r w:rsidRPr="008777F2">
        <w:rPr>
          <w:rFonts w:ascii="宋体" w:eastAsia="宋体" w:hAnsi="宋体" w:cs="宋体" w:hint="eastAsia"/>
          <w:color w:val="333333"/>
          <w:kern w:val="0"/>
          <w:sz w:val="32"/>
          <w:szCs w:val="32"/>
        </w:rPr>
        <w:t>2017年9月6日、2017年9月8日，管健陆续卖出其持有的全部“双龙股份”，卖出成交金额2,657,099.05元，获利225,439.59元。</w:t>
      </w:r>
    </w:p>
    <w:p w14:paraId="246E9B9A"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（三）管健交易“双龙股份”明显异常</w:t>
      </w:r>
    </w:p>
    <w:p w14:paraId="42543298"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2017年3月23日至2017年5月12日期间</w:t>
      </w:r>
      <w:r w:rsidRPr="008777F2">
        <w:rPr>
          <w:rFonts w:ascii="宋体" w:eastAsia="宋体" w:hAnsi="宋体" w:cs="宋体" w:hint="eastAsia"/>
          <w:color w:val="000000"/>
          <w:kern w:val="0"/>
          <w:sz w:val="32"/>
          <w:szCs w:val="32"/>
        </w:rPr>
        <w:t>，管健两次买入“双龙股份”前均与张某存在联络接触。2017年4月4日管健和张某通话后，随即于2017年4月6日向“管健”账户转入大额资金，并在13分钟内下单5笔买入“双龙股份”1,441,681.83元</w:t>
      </w:r>
      <w:r w:rsidRPr="008777F2">
        <w:rPr>
          <w:rFonts w:ascii="宋体" w:eastAsia="宋体" w:hAnsi="宋体" w:cs="宋体" w:hint="eastAsia"/>
          <w:color w:val="333333"/>
          <w:kern w:val="0"/>
          <w:sz w:val="32"/>
          <w:szCs w:val="32"/>
        </w:rPr>
        <w:t>；2017年5月7日</w:t>
      </w:r>
      <w:r w:rsidRPr="008777F2">
        <w:rPr>
          <w:rFonts w:ascii="宋体" w:eastAsia="宋体" w:hAnsi="宋体" w:cs="宋体" w:hint="eastAsia"/>
          <w:color w:val="000000"/>
          <w:kern w:val="0"/>
          <w:sz w:val="32"/>
          <w:szCs w:val="32"/>
        </w:rPr>
        <w:t>管健和张某通话后，随即于2017年5月11日再次向“管健”账户转入大额资金，并在31分钟内下单13笔买入“双龙股份”</w:t>
      </w:r>
      <w:r w:rsidRPr="008777F2">
        <w:rPr>
          <w:rFonts w:ascii="宋体" w:eastAsia="宋体" w:hAnsi="宋体" w:cs="宋体" w:hint="eastAsia"/>
          <w:color w:val="333333"/>
          <w:kern w:val="0"/>
          <w:sz w:val="32"/>
          <w:szCs w:val="32"/>
        </w:rPr>
        <w:t>1,000,712.50元</w:t>
      </w:r>
      <w:r w:rsidRPr="008777F2">
        <w:rPr>
          <w:rFonts w:ascii="宋体" w:eastAsia="宋体" w:hAnsi="宋体" w:cs="宋体" w:hint="eastAsia"/>
          <w:color w:val="000000"/>
          <w:kern w:val="0"/>
          <w:sz w:val="32"/>
          <w:szCs w:val="32"/>
        </w:rPr>
        <w:t>。上述交易金额明显放大，买入意愿强烈</w:t>
      </w:r>
      <w:r w:rsidRPr="008777F2">
        <w:rPr>
          <w:rFonts w:ascii="宋体" w:eastAsia="宋体" w:hAnsi="宋体" w:cs="宋体" w:hint="eastAsia"/>
          <w:color w:val="333333"/>
          <w:kern w:val="0"/>
          <w:sz w:val="32"/>
          <w:szCs w:val="32"/>
        </w:rPr>
        <w:t>，</w:t>
      </w:r>
      <w:r w:rsidRPr="008777F2">
        <w:rPr>
          <w:rFonts w:ascii="宋体" w:eastAsia="宋体" w:hAnsi="宋体" w:cs="宋体" w:hint="eastAsia"/>
          <w:color w:val="000000"/>
          <w:kern w:val="0"/>
          <w:sz w:val="32"/>
          <w:szCs w:val="32"/>
        </w:rPr>
        <w:t>与过往交易习惯明显不同。</w:t>
      </w:r>
      <w:r w:rsidRPr="008777F2">
        <w:rPr>
          <w:rFonts w:ascii="宋体" w:eastAsia="宋体" w:hAnsi="宋体" w:cs="宋体" w:hint="eastAsia"/>
          <w:color w:val="333333"/>
          <w:kern w:val="0"/>
          <w:sz w:val="32"/>
          <w:szCs w:val="32"/>
        </w:rPr>
        <w:t>管健交易“双龙股份”的</w:t>
      </w:r>
      <w:r w:rsidRPr="008777F2">
        <w:rPr>
          <w:rFonts w:ascii="宋体" w:eastAsia="宋体" w:hAnsi="宋体" w:cs="宋体" w:hint="eastAsia"/>
          <w:color w:val="333333"/>
          <w:kern w:val="0"/>
          <w:sz w:val="32"/>
          <w:szCs w:val="32"/>
        </w:rPr>
        <w:lastRenderedPageBreak/>
        <w:t>买入时间及资金变化时间与内幕信息的形成、公开时间高度吻合</w:t>
      </w:r>
      <w:r w:rsidRPr="008777F2">
        <w:rPr>
          <w:rFonts w:ascii="宋体" w:eastAsia="宋体" w:hAnsi="宋体" w:cs="宋体" w:hint="eastAsia"/>
          <w:color w:val="000000"/>
          <w:kern w:val="0"/>
          <w:sz w:val="32"/>
          <w:szCs w:val="32"/>
        </w:rPr>
        <w:t>，</w:t>
      </w:r>
      <w:r w:rsidRPr="008777F2">
        <w:rPr>
          <w:rFonts w:ascii="宋体" w:eastAsia="宋体" w:hAnsi="宋体" w:cs="宋体" w:hint="eastAsia"/>
          <w:color w:val="333333"/>
          <w:kern w:val="0"/>
          <w:sz w:val="32"/>
          <w:szCs w:val="32"/>
        </w:rPr>
        <w:t>交易行为明显异常，且管健不能提供合理说明或提供证据排除其存在利用内幕信息从事该交易活动。</w:t>
      </w:r>
    </w:p>
    <w:p w14:paraId="3325CE48" w14:textId="77777777" w:rsidR="008777F2" w:rsidRPr="008777F2" w:rsidRDefault="008777F2" w:rsidP="008777F2">
      <w:pPr>
        <w:widowControl/>
        <w:shd w:val="clear" w:color="auto" w:fill="FFFFFF"/>
        <w:spacing w:line="640" w:lineRule="atLeast"/>
        <w:ind w:firstLine="579"/>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上述违法事实，有询问笔录、证券账户资料、交易记录、相关公告等证据证明，足以认定。</w:t>
      </w:r>
    </w:p>
    <w:p w14:paraId="4C676A8F" w14:textId="77777777" w:rsidR="008777F2" w:rsidRPr="008777F2" w:rsidRDefault="008777F2" w:rsidP="008777F2">
      <w:pPr>
        <w:widowControl/>
        <w:shd w:val="clear" w:color="auto" w:fill="FFFFFF"/>
        <w:spacing w:line="640" w:lineRule="atLeast"/>
        <w:ind w:firstLine="579"/>
        <w:jc w:val="left"/>
        <w:rPr>
          <w:rFonts w:ascii="宋体" w:eastAsia="宋体" w:hAnsi="宋体" w:cs="宋体"/>
          <w:color w:val="333333"/>
          <w:kern w:val="0"/>
          <w:szCs w:val="21"/>
        </w:rPr>
      </w:pPr>
      <w:r w:rsidRPr="008777F2">
        <w:rPr>
          <w:rFonts w:ascii="宋体" w:eastAsia="宋体" w:hAnsi="宋体" w:cs="宋体" w:hint="eastAsia"/>
          <w:color w:val="000000"/>
          <w:kern w:val="0"/>
          <w:sz w:val="32"/>
          <w:szCs w:val="32"/>
        </w:rPr>
        <w:t>管健的行为违反了</w:t>
      </w:r>
      <w:r w:rsidRPr="008777F2">
        <w:rPr>
          <w:rFonts w:ascii="宋体" w:eastAsia="宋体" w:hAnsi="宋体" w:cs="宋体" w:hint="eastAsia"/>
          <w:color w:val="333333"/>
          <w:kern w:val="0"/>
          <w:sz w:val="32"/>
          <w:szCs w:val="32"/>
        </w:rPr>
        <w:t>《证券法》第七十三条、第七十六条第一款的规定</w:t>
      </w:r>
      <w:r w:rsidRPr="008777F2">
        <w:rPr>
          <w:rFonts w:ascii="宋体" w:eastAsia="宋体" w:hAnsi="宋体" w:cs="宋体" w:hint="eastAsia"/>
          <w:color w:val="000000"/>
          <w:kern w:val="0"/>
          <w:sz w:val="32"/>
          <w:szCs w:val="32"/>
        </w:rPr>
        <w:t>，构成了</w:t>
      </w:r>
      <w:r w:rsidRPr="008777F2">
        <w:rPr>
          <w:rFonts w:ascii="宋体" w:eastAsia="宋体" w:hAnsi="宋体" w:cs="宋体" w:hint="eastAsia"/>
          <w:color w:val="333333"/>
          <w:kern w:val="0"/>
          <w:sz w:val="32"/>
          <w:szCs w:val="32"/>
        </w:rPr>
        <w:t>《证券法》第二百零二条</w:t>
      </w:r>
      <w:r w:rsidRPr="008777F2">
        <w:rPr>
          <w:rFonts w:ascii="宋体" w:eastAsia="宋体" w:hAnsi="宋体" w:cs="宋体" w:hint="eastAsia"/>
          <w:color w:val="000000"/>
          <w:kern w:val="0"/>
          <w:sz w:val="32"/>
          <w:szCs w:val="32"/>
        </w:rPr>
        <w:t>所述的内幕交易行为。</w:t>
      </w:r>
    </w:p>
    <w:p w14:paraId="366FD7F3" w14:textId="77777777" w:rsidR="008777F2" w:rsidRPr="008777F2" w:rsidRDefault="008777F2" w:rsidP="008777F2">
      <w:pPr>
        <w:widowControl/>
        <w:shd w:val="clear" w:color="auto" w:fill="FFFFFF"/>
        <w:spacing w:line="640" w:lineRule="atLeast"/>
        <w:ind w:firstLine="579"/>
        <w:jc w:val="left"/>
        <w:rPr>
          <w:rFonts w:ascii="宋体" w:eastAsia="宋体" w:hAnsi="宋体" w:cs="宋体"/>
          <w:color w:val="333333"/>
          <w:kern w:val="0"/>
          <w:szCs w:val="21"/>
        </w:rPr>
      </w:pPr>
      <w:r w:rsidRPr="008777F2">
        <w:rPr>
          <w:rFonts w:ascii="宋体" w:eastAsia="宋体" w:hAnsi="宋体" w:cs="宋体" w:hint="eastAsia"/>
          <w:color w:val="000000"/>
          <w:kern w:val="0"/>
          <w:sz w:val="32"/>
          <w:szCs w:val="32"/>
        </w:rPr>
        <w:t>根据当事人违法行为的事实、性质、情节与社会危害程度，</w:t>
      </w:r>
      <w:r w:rsidRPr="008777F2">
        <w:rPr>
          <w:rFonts w:ascii="宋体" w:eastAsia="宋体" w:hAnsi="宋体" w:cs="宋体" w:hint="eastAsia"/>
          <w:color w:val="333333"/>
          <w:kern w:val="0"/>
          <w:sz w:val="32"/>
          <w:szCs w:val="32"/>
        </w:rPr>
        <w:t>依据《证券法》第二百零二条的规定</w:t>
      </w:r>
      <w:r w:rsidRPr="008777F2">
        <w:rPr>
          <w:rFonts w:ascii="宋体" w:eastAsia="宋体" w:hAnsi="宋体" w:cs="宋体" w:hint="eastAsia"/>
          <w:color w:val="000000"/>
          <w:kern w:val="0"/>
          <w:sz w:val="32"/>
          <w:szCs w:val="32"/>
        </w:rPr>
        <w:t>，我局决定：</w:t>
      </w:r>
    </w:p>
    <w:p w14:paraId="7BBC639C"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没收管健内幕交易违法所得225,439.59元，并处以676,318.77元罚款。</w:t>
      </w:r>
    </w:p>
    <w:p w14:paraId="05464BD1"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上述当事人应自收到本处罚决定书之日起15日内，将罚没款汇交中国证券监督管理委员会（财政</w:t>
      </w:r>
      <w:proofErr w:type="gramStart"/>
      <w:r w:rsidRPr="008777F2">
        <w:rPr>
          <w:rFonts w:ascii="宋体" w:eastAsia="宋体" w:hAnsi="宋体" w:cs="宋体" w:hint="eastAsia"/>
          <w:color w:val="333333"/>
          <w:kern w:val="0"/>
          <w:sz w:val="32"/>
          <w:szCs w:val="32"/>
        </w:rPr>
        <w:t>汇缴专户</w:t>
      </w:r>
      <w:proofErr w:type="gramEnd"/>
      <w:r w:rsidRPr="008777F2">
        <w:rPr>
          <w:rFonts w:ascii="宋体" w:eastAsia="宋体" w:hAnsi="宋体" w:cs="宋体" w:hint="eastAsia"/>
          <w:color w:val="333333"/>
          <w:kern w:val="0"/>
          <w:sz w:val="32"/>
          <w:szCs w:val="32"/>
        </w:rPr>
        <w:t xml:space="preserve">），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74D73304"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Cs w:val="21"/>
        </w:rPr>
        <w:lastRenderedPageBreak/>
        <w:t> </w:t>
      </w:r>
    </w:p>
    <w:p w14:paraId="7ECD1317" w14:textId="77777777" w:rsidR="008777F2" w:rsidRPr="008777F2" w:rsidRDefault="008777F2" w:rsidP="008777F2">
      <w:pPr>
        <w:widowControl/>
        <w:shd w:val="clear" w:color="auto" w:fill="FFFFFF"/>
        <w:spacing w:line="640" w:lineRule="atLeast"/>
        <w:ind w:firstLine="640"/>
        <w:jc w:val="left"/>
        <w:rPr>
          <w:rFonts w:ascii="宋体" w:eastAsia="宋体" w:hAnsi="宋体" w:cs="宋体"/>
          <w:color w:val="333333"/>
          <w:kern w:val="0"/>
          <w:szCs w:val="21"/>
        </w:rPr>
      </w:pPr>
      <w:r w:rsidRPr="008777F2">
        <w:rPr>
          <w:rFonts w:ascii="宋体" w:eastAsia="宋体" w:hAnsi="宋体" w:cs="宋体" w:hint="eastAsia"/>
          <w:color w:val="333333"/>
          <w:kern w:val="0"/>
          <w:sz w:val="32"/>
          <w:szCs w:val="32"/>
        </w:rPr>
        <w:t xml:space="preserve">　　　　　　　　　　　　　　　　　　　　　　　　　　　　　　 　  吉林证监局</w:t>
      </w:r>
    </w:p>
    <w:p w14:paraId="6BCA5793" w14:textId="1C625643" w:rsidR="006119A8" w:rsidRDefault="008777F2" w:rsidP="008777F2">
      <w:r w:rsidRPr="008777F2">
        <w:rPr>
          <w:rFonts w:ascii="宋体" w:eastAsia="宋体" w:hAnsi="宋体" w:cs="宋体" w:hint="eastAsia"/>
          <w:color w:val="333333"/>
          <w:kern w:val="0"/>
          <w:sz w:val="32"/>
          <w:szCs w:val="32"/>
          <w:shd w:val="clear" w:color="auto" w:fill="FFFFFF"/>
        </w:rPr>
        <w:t xml:space="preserve">　　　　　　　　　　　　　　　　　　　　　　　　　　　　　　　　　　2018年12月25日</w:t>
      </w:r>
    </w:p>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3BE4" w14:textId="77777777" w:rsidR="00FE5CC8" w:rsidRDefault="00FE5CC8" w:rsidP="005C75C7">
      <w:r>
        <w:separator/>
      </w:r>
    </w:p>
  </w:endnote>
  <w:endnote w:type="continuationSeparator" w:id="0">
    <w:p w14:paraId="3EEF8595" w14:textId="77777777" w:rsidR="00FE5CC8" w:rsidRDefault="00FE5CC8" w:rsidP="005C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2B03" w14:textId="77777777" w:rsidR="00FE5CC8" w:rsidRDefault="00FE5CC8" w:rsidP="005C75C7">
      <w:r>
        <w:separator/>
      </w:r>
    </w:p>
  </w:footnote>
  <w:footnote w:type="continuationSeparator" w:id="0">
    <w:p w14:paraId="6207E260" w14:textId="77777777" w:rsidR="00FE5CC8" w:rsidRDefault="00FE5CC8" w:rsidP="005C7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2"/>
    <w:rsid w:val="005C75C7"/>
    <w:rsid w:val="006119A8"/>
    <w:rsid w:val="008777F2"/>
    <w:rsid w:val="00C4688E"/>
    <w:rsid w:val="00FE5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9095E"/>
  <w15:chartTrackingRefBased/>
  <w15:docId w15:val="{C75FF030-0241-4E3D-AD6D-C2F9824E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77F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C7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75C7"/>
    <w:rPr>
      <w:sz w:val="18"/>
      <w:szCs w:val="18"/>
    </w:rPr>
  </w:style>
  <w:style w:type="paragraph" w:styleId="a6">
    <w:name w:val="footer"/>
    <w:basedOn w:val="a"/>
    <w:link w:val="a7"/>
    <w:uiPriority w:val="99"/>
    <w:unhideWhenUsed/>
    <w:rsid w:val="005C75C7"/>
    <w:pPr>
      <w:tabs>
        <w:tab w:val="center" w:pos="4153"/>
        <w:tab w:val="right" w:pos="8306"/>
      </w:tabs>
      <w:snapToGrid w:val="0"/>
      <w:jc w:val="left"/>
    </w:pPr>
    <w:rPr>
      <w:sz w:val="18"/>
      <w:szCs w:val="18"/>
    </w:rPr>
  </w:style>
  <w:style w:type="character" w:customStyle="1" w:styleId="a7">
    <w:name w:val="页脚 字符"/>
    <w:basedOn w:val="a0"/>
    <w:link w:val="a6"/>
    <w:uiPriority w:val="99"/>
    <w:rsid w:val="005C7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846156">
      <w:bodyDiv w:val="1"/>
      <w:marLeft w:val="0"/>
      <w:marRight w:val="0"/>
      <w:marTop w:val="0"/>
      <w:marBottom w:val="0"/>
      <w:divBdr>
        <w:top w:val="none" w:sz="0" w:space="0" w:color="auto"/>
        <w:left w:val="none" w:sz="0" w:space="0" w:color="auto"/>
        <w:bottom w:val="none" w:sz="0" w:space="0" w:color="auto"/>
        <w:right w:val="none" w:sz="0" w:space="0" w:color="auto"/>
      </w:divBdr>
      <w:divsChild>
        <w:div w:id="338388979">
          <w:marLeft w:val="0"/>
          <w:marRight w:val="0"/>
          <w:marTop w:val="0"/>
          <w:marBottom w:val="0"/>
          <w:divBdr>
            <w:top w:val="none" w:sz="0" w:space="23" w:color="auto"/>
            <w:left w:val="none" w:sz="0" w:space="31" w:color="auto"/>
            <w:bottom w:val="single" w:sz="12" w:space="11" w:color="CCCCCC"/>
            <w:right w:val="none" w:sz="0" w:space="31" w:color="auto"/>
          </w:divBdr>
        </w:div>
        <w:div w:id="186019954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2021-09-28T12:19:00Z</dcterms:created>
  <dcterms:modified xsi:type="dcterms:W3CDTF">2021-09-30T05:49:00Z</dcterms:modified>
</cp:coreProperties>
</file>