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8691A" w14:textId="77777777" w:rsidR="005F5FD8" w:rsidRPr="005F5FD8" w:rsidRDefault="005F5FD8" w:rsidP="005F5FD8">
      <w:pPr>
        <w:widowControl/>
        <w:shd w:val="clear" w:color="auto" w:fill="FFFFFF"/>
        <w:spacing w:line="525" w:lineRule="atLeast"/>
        <w:jc w:val="center"/>
        <w:rPr>
          <w:rFonts w:ascii="微软雅黑" w:eastAsia="微软雅黑" w:hAnsi="微软雅黑" w:cs="宋体"/>
          <w:b/>
          <w:bCs/>
          <w:color w:val="0C5CB1"/>
          <w:kern w:val="0"/>
          <w:sz w:val="30"/>
          <w:szCs w:val="30"/>
        </w:rPr>
      </w:pPr>
      <w:r w:rsidRPr="005F5FD8">
        <w:rPr>
          <w:rFonts w:ascii="微软雅黑" w:eastAsia="微软雅黑" w:hAnsi="微软雅黑" w:cs="宋体" w:hint="eastAsia"/>
          <w:b/>
          <w:bCs/>
          <w:color w:val="0C5CB1"/>
          <w:kern w:val="0"/>
          <w:sz w:val="30"/>
          <w:szCs w:val="30"/>
        </w:rPr>
        <w:t>中国证券监督管理委员会吉林监管局行政处罚决定书〔2018〕2号（樊云）</w:t>
      </w:r>
    </w:p>
    <w:p w14:paraId="7674EAA6" w14:textId="77777777" w:rsidR="005F5FD8" w:rsidRPr="005F5FD8" w:rsidRDefault="005F5FD8" w:rsidP="005F5FD8">
      <w:pPr>
        <w:widowControl/>
        <w:shd w:val="clear" w:color="auto" w:fill="FFFFFF"/>
        <w:jc w:val="center"/>
        <w:rPr>
          <w:rFonts w:ascii="宋体" w:eastAsia="宋体" w:hAnsi="宋体" w:cs="宋体"/>
          <w:color w:val="888888"/>
          <w:kern w:val="0"/>
          <w:sz w:val="18"/>
          <w:szCs w:val="18"/>
        </w:rPr>
      </w:pPr>
      <w:r w:rsidRPr="005F5FD8">
        <w:rPr>
          <w:rFonts w:ascii="宋体" w:eastAsia="宋体" w:hAnsi="宋体" w:cs="宋体" w:hint="eastAsia"/>
          <w:color w:val="888888"/>
          <w:kern w:val="0"/>
          <w:sz w:val="18"/>
          <w:szCs w:val="18"/>
        </w:rPr>
        <w:t>时间：2018-01-30 来源：</w:t>
      </w:r>
    </w:p>
    <w:p w14:paraId="7E5AEB32" w14:textId="77777777" w:rsidR="005F5FD8" w:rsidRPr="005F5FD8" w:rsidRDefault="005F5FD8" w:rsidP="005F5FD8">
      <w:pPr>
        <w:widowControl/>
        <w:shd w:val="clear" w:color="auto" w:fill="FFFFFF"/>
        <w:jc w:val="left"/>
        <w:rPr>
          <w:rFonts w:ascii="宋体" w:eastAsia="宋体" w:hAnsi="宋体" w:cs="宋体"/>
          <w:color w:val="333333"/>
          <w:kern w:val="0"/>
          <w:szCs w:val="21"/>
        </w:rPr>
      </w:pPr>
      <w:r w:rsidRPr="005F5FD8">
        <w:rPr>
          <w:rFonts w:ascii="仿宋_GB2312" w:eastAsia="仿宋_GB2312" w:hAnsi="宋体" w:cs="宋体" w:hint="eastAsia"/>
          <w:color w:val="333333"/>
          <w:kern w:val="0"/>
          <w:sz w:val="32"/>
          <w:szCs w:val="32"/>
        </w:rPr>
        <w:t xml:space="preserve">　</w:t>
      </w:r>
      <w:r w:rsidRPr="005F5FD8">
        <w:rPr>
          <w:rFonts w:ascii="仿宋_GB2312" w:eastAsia="仿宋_GB2312" w:hAnsi="宋体" w:cs="宋体" w:hint="eastAsia"/>
          <w:color w:val="333333"/>
          <w:kern w:val="0"/>
          <w:sz w:val="32"/>
          <w:szCs w:val="32"/>
        </w:rPr>
        <w:t> </w:t>
      </w:r>
      <w:r w:rsidRPr="005F5FD8">
        <w:rPr>
          <w:rFonts w:ascii="仿宋_GB2312" w:eastAsia="仿宋_GB2312" w:hAnsi="宋体" w:cs="宋体" w:hint="eastAsia"/>
          <w:color w:val="333333"/>
          <w:kern w:val="0"/>
          <w:sz w:val="32"/>
          <w:szCs w:val="32"/>
        </w:rPr>
        <w:t xml:space="preserve"> 当事人：樊云，男，1969年1月出生，住址：上海市南汇区。</w:t>
      </w:r>
    </w:p>
    <w:p w14:paraId="00FDD7FA" w14:textId="77777777" w:rsidR="005F5FD8" w:rsidRPr="005F5FD8" w:rsidRDefault="005F5FD8" w:rsidP="005F5FD8">
      <w:pPr>
        <w:widowControl/>
        <w:shd w:val="clear" w:color="auto" w:fill="FFFFFF"/>
        <w:spacing w:line="640" w:lineRule="atLeast"/>
        <w:ind w:firstLine="640"/>
        <w:jc w:val="left"/>
        <w:rPr>
          <w:rFonts w:ascii="宋体" w:eastAsia="宋体" w:hAnsi="宋体" w:cs="宋体"/>
          <w:color w:val="333333"/>
          <w:kern w:val="0"/>
          <w:szCs w:val="21"/>
        </w:rPr>
      </w:pPr>
      <w:r w:rsidRPr="005F5FD8">
        <w:rPr>
          <w:rFonts w:ascii="仿宋_GB2312" w:eastAsia="仿宋_GB2312" w:hAnsi="宋体" w:cs="宋体" w:hint="eastAsia"/>
          <w:color w:val="333333"/>
          <w:kern w:val="0"/>
          <w:sz w:val="32"/>
          <w:szCs w:val="32"/>
        </w:rPr>
        <w:t>依据《中华人民共和国证券法》（下称《证券法》）的有关规定，我局对樊云内幕交易天津百利特精电气股份有限公司（下称百利电气）股票行为进行了立案调查、审理，并依法向当事人告知了</w:t>
      </w:r>
      <w:proofErr w:type="gramStart"/>
      <w:r w:rsidRPr="005F5FD8">
        <w:rPr>
          <w:rFonts w:ascii="仿宋_GB2312" w:eastAsia="仿宋_GB2312" w:hAnsi="宋体" w:cs="宋体" w:hint="eastAsia"/>
          <w:color w:val="333333"/>
          <w:kern w:val="0"/>
          <w:sz w:val="32"/>
          <w:szCs w:val="32"/>
        </w:rPr>
        <w:t>作出</w:t>
      </w:r>
      <w:proofErr w:type="gramEnd"/>
      <w:r w:rsidRPr="005F5FD8">
        <w:rPr>
          <w:rFonts w:ascii="仿宋_GB2312" w:eastAsia="仿宋_GB2312" w:hAnsi="宋体" w:cs="宋体" w:hint="eastAsia"/>
          <w:color w:val="333333"/>
          <w:kern w:val="0"/>
          <w:sz w:val="32"/>
          <w:szCs w:val="32"/>
        </w:rPr>
        <w:t>行政处罚的事实、理由、依据及当事人依法享有的权利，当事人未提出陈述、申辩意见，也未要求听证。本案现已调查、审理终结。</w:t>
      </w:r>
    </w:p>
    <w:p w14:paraId="25533A35" w14:textId="77777777" w:rsidR="005F5FD8" w:rsidRPr="005F5FD8" w:rsidRDefault="005F5FD8" w:rsidP="005F5FD8">
      <w:pPr>
        <w:widowControl/>
        <w:shd w:val="clear" w:color="auto" w:fill="FFFFFF"/>
        <w:spacing w:line="640" w:lineRule="atLeast"/>
        <w:ind w:firstLine="640"/>
        <w:jc w:val="left"/>
        <w:rPr>
          <w:rFonts w:ascii="宋体" w:eastAsia="宋体" w:hAnsi="宋体" w:cs="宋体"/>
          <w:color w:val="333333"/>
          <w:kern w:val="0"/>
          <w:szCs w:val="21"/>
        </w:rPr>
      </w:pPr>
      <w:r w:rsidRPr="005F5FD8">
        <w:rPr>
          <w:rFonts w:ascii="仿宋_GB2312" w:eastAsia="仿宋_GB2312" w:hAnsi="宋体" w:cs="宋体" w:hint="eastAsia"/>
          <w:color w:val="333333"/>
          <w:kern w:val="0"/>
          <w:sz w:val="32"/>
          <w:szCs w:val="32"/>
        </w:rPr>
        <w:t>经查明，樊云存在以下违法事实：</w:t>
      </w:r>
    </w:p>
    <w:p w14:paraId="04ECD96D" w14:textId="77777777" w:rsidR="005F5FD8" w:rsidRPr="005F5FD8" w:rsidRDefault="005F5FD8" w:rsidP="005F5FD8">
      <w:pPr>
        <w:widowControl/>
        <w:shd w:val="clear" w:color="auto" w:fill="FFFFFF"/>
        <w:spacing w:line="640" w:lineRule="atLeast"/>
        <w:ind w:firstLine="640"/>
        <w:jc w:val="left"/>
        <w:rPr>
          <w:rFonts w:ascii="宋体" w:eastAsia="宋体" w:hAnsi="宋体" w:cs="宋体"/>
          <w:color w:val="333333"/>
          <w:kern w:val="0"/>
          <w:szCs w:val="21"/>
        </w:rPr>
      </w:pPr>
      <w:r w:rsidRPr="005F5FD8">
        <w:rPr>
          <w:rFonts w:ascii="仿宋_GB2312" w:eastAsia="仿宋_GB2312" w:hAnsi="宋体" w:cs="宋体" w:hint="eastAsia"/>
          <w:color w:val="333333"/>
          <w:kern w:val="0"/>
          <w:sz w:val="32"/>
          <w:szCs w:val="32"/>
        </w:rPr>
        <w:t>2015年3月，百利电气总经理史某了解到苏州贯龙电磁线有限责任公司（下称苏州贯龙）在电磁行业较具竞争优势。2015年7月，百利电气总经理史某与苏州</w:t>
      </w:r>
      <w:proofErr w:type="gramStart"/>
      <w:r w:rsidRPr="005F5FD8">
        <w:rPr>
          <w:rFonts w:ascii="仿宋_GB2312" w:eastAsia="仿宋_GB2312" w:hAnsi="宋体" w:cs="宋体" w:hint="eastAsia"/>
          <w:color w:val="333333"/>
          <w:kern w:val="0"/>
          <w:sz w:val="32"/>
          <w:szCs w:val="32"/>
        </w:rPr>
        <w:t>贯龙实际</w:t>
      </w:r>
      <w:proofErr w:type="gramEnd"/>
      <w:r w:rsidRPr="005F5FD8">
        <w:rPr>
          <w:rFonts w:ascii="仿宋_GB2312" w:eastAsia="仿宋_GB2312" w:hAnsi="宋体" w:cs="宋体" w:hint="eastAsia"/>
          <w:color w:val="333333"/>
          <w:kern w:val="0"/>
          <w:sz w:val="32"/>
          <w:szCs w:val="32"/>
        </w:rPr>
        <w:t>控制人、董事长王某宝在上海会面，获悉王某宝有意出让所持</w:t>
      </w:r>
      <w:proofErr w:type="gramStart"/>
      <w:r w:rsidRPr="005F5FD8">
        <w:rPr>
          <w:rFonts w:ascii="仿宋_GB2312" w:eastAsia="仿宋_GB2312" w:hAnsi="宋体" w:cs="宋体" w:hint="eastAsia"/>
          <w:color w:val="333333"/>
          <w:kern w:val="0"/>
          <w:sz w:val="32"/>
          <w:szCs w:val="32"/>
        </w:rPr>
        <w:t>苏州贯龙股权</w:t>
      </w:r>
      <w:proofErr w:type="gramEnd"/>
      <w:r w:rsidRPr="005F5FD8">
        <w:rPr>
          <w:rFonts w:ascii="仿宋_GB2312" w:eastAsia="仿宋_GB2312" w:hAnsi="宋体" w:cs="宋体" w:hint="eastAsia"/>
          <w:color w:val="333333"/>
          <w:kern w:val="0"/>
          <w:sz w:val="32"/>
          <w:szCs w:val="32"/>
        </w:rPr>
        <w:t>。2015年7月31日，百利电气高</w:t>
      </w:r>
      <w:proofErr w:type="gramStart"/>
      <w:r w:rsidRPr="005F5FD8">
        <w:rPr>
          <w:rFonts w:ascii="仿宋_GB2312" w:eastAsia="仿宋_GB2312" w:hAnsi="宋体" w:cs="宋体" w:hint="eastAsia"/>
          <w:color w:val="333333"/>
          <w:kern w:val="0"/>
          <w:sz w:val="32"/>
          <w:szCs w:val="32"/>
        </w:rPr>
        <w:t>管会议</w:t>
      </w:r>
      <w:proofErr w:type="gramEnd"/>
      <w:r w:rsidRPr="005F5FD8">
        <w:rPr>
          <w:rFonts w:ascii="仿宋_GB2312" w:eastAsia="仿宋_GB2312" w:hAnsi="宋体" w:cs="宋体" w:hint="eastAsia"/>
          <w:color w:val="333333"/>
          <w:kern w:val="0"/>
          <w:sz w:val="32"/>
          <w:szCs w:val="32"/>
        </w:rPr>
        <w:t>上，史某向百利电气高管通报与王某宝接触情况，计划对</w:t>
      </w:r>
      <w:proofErr w:type="gramStart"/>
      <w:r w:rsidRPr="005F5FD8">
        <w:rPr>
          <w:rFonts w:ascii="仿宋_GB2312" w:eastAsia="仿宋_GB2312" w:hAnsi="宋体" w:cs="宋体" w:hint="eastAsia"/>
          <w:color w:val="333333"/>
          <w:kern w:val="0"/>
          <w:sz w:val="32"/>
          <w:szCs w:val="32"/>
        </w:rPr>
        <w:t>苏州贯龙进行</w:t>
      </w:r>
      <w:proofErr w:type="gramEnd"/>
      <w:r w:rsidRPr="005F5FD8">
        <w:rPr>
          <w:rFonts w:ascii="仿宋_GB2312" w:eastAsia="仿宋_GB2312" w:hAnsi="宋体" w:cs="宋体" w:hint="eastAsia"/>
          <w:color w:val="333333"/>
          <w:kern w:val="0"/>
          <w:sz w:val="32"/>
          <w:szCs w:val="32"/>
        </w:rPr>
        <w:t>审计。2015年8月16日，百利电气财务总监李某及中审亚太会计师事务所和立信会计师事务所相关审计人员到达苏州。2015年8月17日，</w:t>
      </w:r>
      <w:proofErr w:type="gramStart"/>
      <w:r w:rsidRPr="005F5FD8">
        <w:rPr>
          <w:rFonts w:ascii="仿宋_GB2312" w:eastAsia="仿宋_GB2312" w:hAnsi="宋体" w:cs="宋体" w:hint="eastAsia"/>
          <w:color w:val="333333"/>
          <w:kern w:val="0"/>
          <w:sz w:val="32"/>
          <w:szCs w:val="32"/>
        </w:rPr>
        <w:t>受百利</w:t>
      </w:r>
      <w:proofErr w:type="gramEnd"/>
      <w:r w:rsidRPr="005F5FD8">
        <w:rPr>
          <w:rFonts w:ascii="仿宋_GB2312" w:eastAsia="仿宋_GB2312" w:hAnsi="宋体" w:cs="宋体" w:hint="eastAsia"/>
          <w:color w:val="333333"/>
          <w:kern w:val="0"/>
          <w:sz w:val="32"/>
          <w:szCs w:val="32"/>
        </w:rPr>
        <w:t>电气委托，中审亚太会计师事务所和立信会计师事务所开始对苏州</w:t>
      </w:r>
      <w:proofErr w:type="gramStart"/>
      <w:r w:rsidRPr="005F5FD8">
        <w:rPr>
          <w:rFonts w:ascii="仿宋_GB2312" w:eastAsia="仿宋_GB2312" w:hAnsi="宋体" w:cs="宋体" w:hint="eastAsia"/>
          <w:color w:val="333333"/>
          <w:kern w:val="0"/>
          <w:sz w:val="32"/>
          <w:szCs w:val="32"/>
        </w:rPr>
        <w:t>贯龙</w:t>
      </w:r>
      <w:r w:rsidRPr="005F5FD8">
        <w:rPr>
          <w:rFonts w:ascii="仿宋_GB2312" w:eastAsia="仿宋_GB2312" w:hAnsi="宋体" w:cs="宋体" w:hint="eastAsia"/>
          <w:color w:val="333333"/>
          <w:kern w:val="0"/>
          <w:sz w:val="32"/>
          <w:szCs w:val="32"/>
        </w:rPr>
        <w:lastRenderedPageBreak/>
        <w:t>实施</w:t>
      </w:r>
      <w:proofErr w:type="gramEnd"/>
      <w:r w:rsidRPr="005F5FD8">
        <w:rPr>
          <w:rFonts w:ascii="仿宋_GB2312" w:eastAsia="仿宋_GB2312" w:hAnsi="宋体" w:cs="宋体" w:hint="eastAsia"/>
          <w:color w:val="333333"/>
          <w:kern w:val="0"/>
          <w:sz w:val="32"/>
          <w:szCs w:val="32"/>
        </w:rPr>
        <w:t>审计。2015年9月7日，</w:t>
      </w:r>
      <w:proofErr w:type="gramStart"/>
      <w:r w:rsidRPr="005F5FD8">
        <w:rPr>
          <w:rFonts w:ascii="仿宋_GB2312" w:eastAsia="仿宋_GB2312" w:hAnsi="宋体" w:cs="宋体" w:hint="eastAsia"/>
          <w:color w:val="333333"/>
          <w:kern w:val="0"/>
          <w:sz w:val="32"/>
          <w:szCs w:val="32"/>
        </w:rPr>
        <w:t>受百利</w:t>
      </w:r>
      <w:proofErr w:type="gramEnd"/>
      <w:r w:rsidRPr="005F5FD8">
        <w:rPr>
          <w:rFonts w:ascii="仿宋_GB2312" w:eastAsia="仿宋_GB2312" w:hAnsi="宋体" w:cs="宋体" w:hint="eastAsia"/>
          <w:color w:val="333333"/>
          <w:kern w:val="0"/>
          <w:sz w:val="32"/>
          <w:szCs w:val="32"/>
        </w:rPr>
        <w:t>电气委托，北京中同</w:t>
      </w:r>
      <w:proofErr w:type="gramStart"/>
      <w:r w:rsidRPr="005F5FD8">
        <w:rPr>
          <w:rFonts w:ascii="仿宋_GB2312" w:eastAsia="仿宋_GB2312" w:hAnsi="宋体" w:cs="宋体" w:hint="eastAsia"/>
          <w:color w:val="333333"/>
          <w:kern w:val="0"/>
          <w:sz w:val="32"/>
          <w:szCs w:val="32"/>
        </w:rPr>
        <w:t>华资产</w:t>
      </w:r>
      <w:proofErr w:type="gramEnd"/>
      <w:r w:rsidRPr="005F5FD8">
        <w:rPr>
          <w:rFonts w:ascii="仿宋_GB2312" w:eastAsia="仿宋_GB2312" w:hAnsi="宋体" w:cs="宋体" w:hint="eastAsia"/>
          <w:color w:val="333333"/>
          <w:kern w:val="0"/>
          <w:sz w:val="32"/>
          <w:szCs w:val="32"/>
        </w:rPr>
        <w:t>评估有限公司开始对</w:t>
      </w:r>
      <w:proofErr w:type="gramStart"/>
      <w:r w:rsidRPr="005F5FD8">
        <w:rPr>
          <w:rFonts w:ascii="仿宋_GB2312" w:eastAsia="仿宋_GB2312" w:hAnsi="宋体" w:cs="宋体" w:hint="eastAsia"/>
          <w:color w:val="333333"/>
          <w:kern w:val="0"/>
          <w:sz w:val="32"/>
          <w:szCs w:val="32"/>
        </w:rPr>
        <w:t>苏州贯龙进行</w:t>
      </w:r>
      <w:proofErr w:type="gramEnd"/>
      <w:r w:rsidRPr="005F5FD8">
        <w:rPr>
          <w:rFonts w:ascii="仿宋_GB2312" w:eastAsia="仿宋_GB2312" w:hAnsi="宋体" w:cs="宋体" w:hint="eastAsia"/>
          <w:color w:val="333333"/>
          <w:kern w:val="0"/>
          <w:sz w:val="32"/>
          <w:szCs w:val="32"/>
        </w:rPr>
        <w:t>资产评估。2015年11月19日，</w:t>
      </w:r>
      <w:proofErr w:type="gramStart"/>
      <w:r w:rsidRPr="005F5FD8">
        <w:rPr>
          <w:rFonts w:ascii="仿宋_GB2312" w:eastAsia="仿宋_GB2312" w:hAnsi="宋体" w:cs="宋体" w:hint="eastAsia"/>
          <w:color w:val="333333"/>
          <w:kern w:val="0"/>
          <w:sz w:val="32"/>
          <w:szCs w:val="32"/>
        </w:rPr>
        <w:t>受百利</w:t>
      </w:r>
      <w:proofErr w:type="gramEnd"/>
      <w:r w:rsidRPr="005F5FD8">
        <w:rPr>
          <w:rFonts w:ascii="仿宋_GB2312" w:eastAsia="仿宋_GB2312" w:hAnsi="宋体" w:cs="宋体" w:hint="eastAsia"/>
          <w:color w:val="333333"/>
          <w:kern w:val="0"/>
          <w:sz w:val="32"/>
          <w:szCs w:val="32"/>
        </w:rPr>
        <w:t>电气委托，上海锦天诚（天津）律师事务所开始对</w:t>
      </w:r>
      <w:proofErr w:type="gramStart"/>
      <w:r w:rsidRPr="005F5FD8">
        <w:rPr>
          <w:rFonts w:ascii="仿宋_GB2312" w:eastAsia="仿宋_GB2312" w:hAnsi="宋体" w:cs="宋体" w:hint="eastAsia"/>
          <w:color w:val="333333"/>
          <w:kern w:val="0"/>
          <w:sz w:val="32"/>
          <w:szCs w:val="32"/>
        </w:rPr>
        <w:t>苏州贯龙进行</w:t>
      </w:r>
      <w:proofErr w:type="gramEnd"/>
      <w:r w:rsidRPr="005F5FD8">
        <w:rPr>
          <w:rFonts w:ascii="仿宋_GB2312" w:eastAsia="仿宋_GB2312" w:hAnsi="宋体" w:cs="宋体" w:hint="eastAsia"/>
          <w:color w:val="333333"/>
          <w:kern w:val="0"/>
          <w:sz w:val="32"/>
          <w:szCs w:val="32"/>
        </w:rPr>
        <w:t>尽职调查。2015年11月26日，百利电气召开董事会汇报会，中审亚太会计师事务所、立信会计师事务所、北京中同</w:t>
      </w:r>
      <w:proofErr w:type="gramStart"/>
      <w:r w:rsidRPr="005F5FD8">
        <w:rPr>
          <w:rFonts w:ascii="仿宋_GB2312" w:eastAsia="仿宋_GB2312" w:hAnsi="宋体" w:cs="宋体" w:hint="eastAsia"/>
          <w:color w:val="333333"/>
          <w:kern w:val="0"/>
          <w:sz w:val="32"/>
          <w:szCs w:val="32"/>
        </w:rPr>
        <w:t>华资产</w:t>
      </w:r>
      <w:proofErr w:type="gramEnd"/>
      <w:r w:rsidRPr="005F5FD8">
        <w:rPr>
          <w:rFonts w:ascii="仿宋_GB2312" w:eastAsia="仿宋_GB2312" w:hAnsi="宋体" w:cs="宋体" w:hint="eastAsia"/>
          <w:color w:val="333333"/>
          <w:kern w:val="0"/>
          <w:sz w:val="32"/>
          <w:szCs w:val="32"/>
        </w:rPr>
        <w:t>评估有限公司、上海锦天诚（天津）律师事务所等分别汇报了审计、评估和尽职调查情况。2016年2月2日，百利电气发布停牌公告,称公司拟筹划重大事项，该事项可能涉及重大资产重组，公司股票自2016年2月2日起停牌。百利电气购买</w:t>
      </w:r>
      <w:proofErr w:type="gramStart"/>
      <w:r w:rsidRPr="005F5FD8">
        <w:rPr>
          <w:rFonts w:ascii="仿宋_GB2312" w:eastAsia="仿宋_GB2312" w:hAnsi="宋体" w:cs="宋体" w:hint="eastAsia"/>
          <w:color w:val="333333"/>
          <w:kern w:val="0"/>
          <w:sz w:val="32"/>
          <w:szCs w:val="32"/>
        </w:rPr>
        <w:t>苏州贯龙股权</w:t>
      </w:r>
      <w:proofErr w:type="gramEnd"/>
      <w:r w:rsidRPr="005F5FD8">
        <w:rPr>
          <w:rFonts w:ascii="仿宋_GB2312" w:eastAsia="仿宋_GB2312" w:hAnsi="宋体" w:cs="宋体" w:hint="eastAsia"/>
          <w:color w:val="333333"/>
          <w:kern w:val="0"/>
          <w:sz w:val="32"/>
          <w:szCs w:val="32"/>
        </w:rPr>
        <w:t>的事项，构成了《证券法》第六十七条第二款第（二）项规定的重大事件，在该信息公开前，属于《证券法》第七十五条第一款、第二款第（一）项规定的内幕信息。内幕信息敏感期为2015年7月31日至2016年2月2日。</w:t>
      </w:r>
      <w:r w:rsidRPr="004E7EBA">
        <w:rPr>
          <w:rFonts w:ascii="仿宋_GB2312" w:eastAsia="仿宋_GB2312" w:hAnsi="宋体" w:cs="宋体" w:hint="eastAsia"/>
          <w:color w:val="333333"/>
          <w:kern w:val="0"/>
          <w:sz w:val="32"/>
          <w:szCs w:val="32"/>
          <w:highlight w:val="yellow"/>
        </w:rPr>
        <w:t>樊云时任苏州贯龙上海分公司副总经理，参与、配合了百利电气对</w:t>
      </w:r>
      <w:proofErr w:type="gramStart"/>
      <w:r w:rsidRPr="004E7EBA">
        <w:rPr>
          <w:rFonts w:ascii="仿宋_GB2312" w:eastAsia="仿宋_GB2312" w:hAnsi="宋体" w:cs="宋体" w:hint="eastAsia"/>
          <w:color w:val="333333"/>
          <w:kern w:val="0"/>
          <w:sz w:val="32"/>
          <w:szCs w:val="32"/>
          <w:highlight w:val="yellow"/>
        </w:rPr>
        <w:t>苏州贯龙股权</w:t>
      </w:r>
      <w:proofErr w:type="gramEnd"/>
      <w:r w:rsidRPr="004E7EBA">
        <w:rPr>
          <w:rFonts w:ascii="仿宋_GB2312" w:eastAsia="仿宋_GB2312" w:hAnsi="宋体" w:cs="宋体" w:hint="eastAsia"/>
          <w:color w:val="333333"/>
          <w:kern w:val="0"/>
          <w:sz w:val="32"/>
          <w:szCs w:val="32"/>
          <w:highlight w:val="yellow"/>
        </w:rPr>
        <w:t>的收购工作</w:t>
      </w:r>
      <w:r w:rsidRPr="005F5FD8">
        <w:rPr>
          <w:rFonts w:ascii="仿宋_GB2312" w:eastAsia="仿宋_GB2312" w:hAnsi="宋体" w:cs="宋体" w:hint="eastAsia"/>
          <w:color w:val="333333"/>
          <w:kern w:val="0"/>
          <w:sz w:val="32"/>
          <w:szCs w:val="32"/>
        </w:rPr>
        <w:t>。樊云承认知悉百利电气收购</w:t>
      </w:r>
      <w:proofErr w:type="gramStart"/>
      <w:r w:rsidRPr="005F5FD8">
        <w:rPr>
          <w:rFonts w:ascii="仿宋_GB2312" w:eastAsia="仿宋_GB2312" w:hAnsi="宋体" w:cs="宋体" w:hint="eastAsia"/>
          <w:color w:val="333333"/>
          <w:kern w:val="0"/>
          <w:sz w:val="32"/>
          <w:szCs w:val="32"/>
        </w:rPr>
        <w:t>苏州贯龙股权</w:t>
      </w:r>
      <w:proofErr w:type="gramEnd"/>
      <w:r w:rsidRPr="005F5FD8">
        <w:rPr>
          <w:rFonts w:ascii="仿宋_GB2312" w:eastAsia="仿宋_GB2312" w:hAnsi="宋体" w:cs="宋体" w:hint="eastAsia"/>
          <w:color w:val="333333"/>
          <w:kern w:val="0"/>
          <w:sz w:val="32"/>
          <w:szCs w:val="32"/>
        </w:rPr>
        <w:t>事项内幕信息。樊云是内幕信息知情人。</w:t>
      </w:r>
    </w:p>
    <w:p w14:paraId="0D5DE53C" w14:textId="77777777" w:rsidR="005F5FD8" w:rsidRPr="005F5FD8" w:rsidRDefault="005F5FD8" w:rsidP="005F5FD8">
      <w:pPr>
        <w:widowControl/>
        <w:shd w:val="clear" w:color="auto" w:fill="FFFFFF"/>
        <w:spacing w:line="640" w:lineRule="atLeast"/>
        <w:ind w:firstLine="640"/>
        <w:jc w:val="left"/>
        <w:rPr>
          <w:rFonts w:ascii="宋体" w:eastAsia="宋体" w:hAnsi="宋体" w:cs="宋体"/>
          <w:color w:val="333333"/>
          <w:kern w:val="0"/>
          <w:szCs w:val="21"/>
        </w:rPr>
      </w:pPr>
      <w:r w:rsidRPr="005F5FD8">
        <w:rPr>
          <w:rFonts w:ascii="仿宋_GB2312" w:eastAsia="仿宋_GB2312" w:hAnsi="宋体" w:cs="宋体" w:hint="eastAsia"/>
          <w:color w:val="333333"/>
          <w:kern w:val="0"/>
          <w:sz w:val="32"/>
          <w:szCs w:val="32"/>
        </w:rPr>
        <w:t>樊云在苏州贯龙公司办公电脑操作“吴某”账户交易“百利电气”。“吴某”账户交易“百利电气”资金来源于樊云本人及其妻子王某敏账户。樊云承认在办公电脑操</w:t>
      </w:r>
      <w:r w:rsidRPr="005F5FD8">
        <w:rPr>
          <w:rFonts w:ascii="仿宋_GB2312" w:eastAsia="仿宋_GB2312" w:hAnsi="宋体" w:cs="宋体" w:hint="eastAsia"/>
          <w:color w:val="333333"/>
          <w:kern w:val="0"/>
          <w:sz w:val="32"/>
          <w:szCs w:val="32"/>
        </w:rPr>
        <w:lastRenderedPageBreak/>
        <w:t>作“吴某”账户交易“百利电气”。2016年1月15日，樊云控制“吴某”账户买入“百利电气”115,400股，成交金额159.94万元；2016年5月23日，樊云控制“吴某”账户卖出“百利电气”40,000股，成交金额57.66万元；2016年7月1日，“吴某”账户卖出“百利电气”75,400股，成交金额106.31万元。樊云内幕交易获利37,645.70元。</w:t>
      </w:r>
    </w:p>
    <w:p w14:paraId="662FD439" w14:textId="77777777" w:rsidR="005F5FD8" w:rsidRPr="005F5FD8" w:rsidRDefault="005F5FD8" w:rsidP="005F5FD8">
      <w:pPr>
        <w:widowControl/>
        <w:shd w:val="clear" w:color="auto" w:fill="FFFFFF"/>
        <w:spacing w:line="640" w:lineRule="atLeast"/>
        <w:ind w:firstLine="640"/>
        <w:jc w:val="left"/>
        <w:rPr>
          <w:rFonts w:ascii="宋体" w:eastAsia="宋体" w:hAnsi="宋体" w:cs="宋体"/>
          <w:color w:val="333333"/>
          <w:kern w:val="0"/>
          <w:szCs w:val="21"/>
        </w:rPr>
      </w:pPr>
      <w:r w:rsidRPr="005F5FD8">
        <w:rPr>
          <w:rFonts w:ascii="仿宋_GB2312" w:eastAsia="仿宋_GB2312" w:hAnsi="宋体" w:cs="宋体" w:hint="eastAsia"/>
          <w:color w:val="333333"/>
          <w:kern w:val="0"/>
          <w:sz w:val="32"/>
          <w:szCs w:val="32"/>
        </w:rPr>
        <w:t>以上事实，有相关会议记录、情况说明、证券账户资料、交易流水、相关人员和当事人询问笔录等证据证明，足以认定。</w:t>
      </w:r>
    </w:p>
    <w:p w14:paraId="53ED7159" w14:textId="77777777" w:rsidR="005F5FD8" w:rsidRPr="005F5FD8" w:rsidRDefault="005F5FD8" w:rsidP="005F5FD8">
      <w:pPr>
        <w:widowControl/>
        <w:shd w:val="clear" w:color="auto" w:fill="FFFFFF"/>
        <w:spacing w:line="640" w:lineRule="atLeast"/>
        <w:ind w:firstLine="640"/>
        <w:jc w:val="left"/>
        <w:rPr>
          <w:rFonts w:ascii="宋体" w:eastAsia="宋体" w:hAnsi="宋体" w:cs="宋体"/>
          <w:color w:val="333333"/>
          <w:kern w:val="0"/>
          <w:szCs w:val="21"/>
        </w:rPr>
      </w:pPr>
      <w:r w:rsidRPr="005F5FD8">
        <w:rPr>
          <w:rFonts w:ascii="仿宋_GB2312" w:eastAsia="仿宋_GB2312" w:hAnsi="宋体" w:cs="宋体" w:hint="eastAsia"/>
          <w:color w:val="333333"/>
          <w:kern w:val="0"/>
          <w:sz w:val="32"/>
          <w:szCs w:val="32"/>
        </w:rPr>
        <w:t>我局认为，樊云的上述行为违反了《证券法》第七十三条、第七十六条第一款的规定，构成《证券法》第二百零二条规定的内幕交易行为。</w:t>
      </w:r>
    </w:p>
    <w:p w14:paraId="5722555F" w14:textId="77777777" w:rsidR="005F5FD8" w:rsidRPr="005F5FD8" w:rsidRDefault="005F5FD8" w:rsidP="005F5FD8">
      <w:pPr>
        <w:widowControl/>
        <w:shd w:val="clear" w:color="auto" w:fill="FFFFFF"/>
        <w:spacing w:line="640" w:lineRule="atLeast"/>
        <w:ind w:firstLine="640"/>
        <w:jc w:val="left"/>
        <w:rPr>
          <w:rFonts w:ascii="宋体" w:eastAsia="宋体" w:hAnsi="宋体" w:cs="宋体"/>
          <w:color w:val="333333"/>
          <w:kern w:val="0"/>
          <w:szCs w:val="21"/>
        </w:rPr>
      </w:pPr>
      <w:r w:rsidRPr="005F5FD8">
        <w:rPr>
          <w:rFonts w:ascii="仿宋_GB2312" w:eastAsia="仿宋_GB2312" w:hAnsi="宋体" w:cs="宋体" w:hint="eastAsia"/>
          <w:color w:val="333333"/>
          <w:kern w:val="0"/>
          <w:sz w:val="32"/>
          <w:szCs w:val="32"/>
        </w:rPr>
        <w:t>根据樊云违法行为的事实、性质、情节与社会危害程度，依据《证券法》第二百零二条的规定，我局决定：</w:t>
      </w:r>
    </w:p>
    <w:p w14:paraId="5B3208E2" w14:textId="77777777" w:rsidR="005F5FD8" w:rsidRPr="005F5FD8" w:rsidRDefault="005F5FD8" w:rsidP="005F5FD8">
      <w:pPr>
        <w:widowControl/>
        <w:shd w:val="clear" w:color="auto" w:fill="FFFFFF"/>
        <w:spacing w:line="640" w:lineRule="atLeast"/>
        <w:ind w:firstLine="640"/>
        <w:jc w:val="left"/>
        <w:rPr>
          <w:rFonts w:ascii="宋体" w:eastAsia="宋体" w:hAnsi="宋体" w:cs="宋体"/>
          <w:color w:val="333333"/>
          <w:kern w:val="0"/>
          <w:szCs w:val="21"/>
        </w:rPr>
      </w:pPr>
      <w:r w:rsidRPr="005F5FD8">
        <w:rPr>
          <w:rFonts w:ascii="仿宋_GB2312" w:eastAsia="仿宋_GB2312" w:hAnsi="宋体" w:cs="宋体" w:hint="eastAsia"/>
          <w:color w:val="333333"/>
          <w:kern w:val="0"/>
          <w:sz w:val="32"/>
          <w:szCs w:val="32"/>
        </w:rPr>
        <w:t>没收樊云内幕交易违法所得37,645.70元，并处以112,937.10元罚款。</w:t>
      </w:r>
    </w:p>
    <w:p w14:paraId="298BAB1B" w14:textId="77777777" w:rsidR="005F5FD8" w:rsidRPr="005F5FD8" w:rsidRDefault="005F5FD8" w:rsidP="005F5FD8">
      <w:pPr>
        <w:widowControl/>
        <w:shd w:val="clear" w:color="auto" w:fill="FFFFFF"/>
        <w:spacing w:line="640" w:lineRule="atLeast"/>
        <w:ind w:firstLine="640"/>
        <w:jc w:val="left"/>
        <w:rPr>
          <w:rFonts w:ascii="宋体" w:eastAsia="宋体" w:hAnsi="宋体" w:cs="宋体"/>
          <w:color w:val="333333"/>
          <w:kern w:val="0"/>
          <w:szCs w:val="21"/>
        </w:rPr>
      </w:pPr>
      <w:r w:rsidRPr="005F5FD8">
        <w:rPr>
          <w:rFonts w:ascii="仿宋_GB2312" w:eastAsia="仿宋_GB2312" w:hAnsi="宋体" w:cs="宋体" w:hint="eastAsia"/>
          <w:color w:val="333333"/>
          <w:kern w:val="0"/>
          <w:sz w:val="32"/>
          <w:szCs w:val="32"/>
        </w:rPr>
        <w:t>当事人应自收到本处罚决定书之日起15日内，将罚没款汇交中国证券监督管理委员会（开户银行：中信银行总行营业部，账号7111010189800000162，由该行直接上缴国库），并将注有当事人名称的付款凭证复印件送我局备</w:t>
      </w:r>
      <w:r w:rsidRPr="005F5FD8">
        <w:rPr>
          <w:rFonts w:ascii="仿宋_GB2312" w:eastAsia="仿宋_GB2312" w:hAnsi="宋体" w:cs="宋体" w:hint="eastAsia"/>
          <w:color w:val="333333"/>
          <w:kern w:val="0"/>
          <w:sz w:val="32"/>
          <w:szCs w:val="32"/>
        </w:rPr>
        <w:lastRenderedPageBreak/>
        <w:t>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6E2FFEF3" w14:textId="77777777" w:rsidR="005F5FD8" w:rsidRPr="005F5FD8" w:rsidRDefault="005F5FD8" w:rsidP="005F5FD8">
      <w:pPr>
        <w:widowControl/>
        <w:shd w:val="clear" w:color="auto" w:fill="FFFFFF"/>
        <w:spacing w:line="640" w:lineRule="atLeast"/>
        <w:ind w:firstLine="640"/>
        <w:jc w:val="left"/>
        <w:rPr>
          <w:rFonts w:ascii="宋体" w:eastAsia="宋体" w:hAnsi="宋体" w:cs="宋体"/>
          <w:color w:val="333333"/>
          <w:kern w:val="0"/>
          <w:szCs w:val="21"/>
        </w:rPr>
      </w:pPr>
      <w:r w:rsidRPr="005F5FD8">
        <w:rPr>
          <w:rFonts w:ascii="宋体" w:eastAsia="宋体" w:hAnsi="宋体" w:cs="宋体" w:hint="eastAsia"/>
          <w:color w:val="333333"/>
          <w:kern w:val="0"/>
          <w:szCs w:val="21"/>
        </w:rPr>
        <w:t> </w:t>
      </w:r>
    </w:p>
    <w:p w14:paraId="4254AFCE" w14:textId="77777777" w:rsidR="005F5FD8" w:rsidRPr="005F5FD8" w:rsidRDefault="005F5FD8" w:rsidP="005F5FD8">
      <w:pPr>
        <w:widowControl/>
        <w:shd w:val="clear" w:color="auto" w:fill="FFFFFF"/>
        <w:spacing w:line="640" w:lineRule="atLeast"/>
        <w:jc w:val="left"/>
        <w:rPr>
          <w:rFonts w:ascii="宋体" w:eastAsia="宋体" w:hAnsi="宋体" w:cs="宋体"/>
          <w:color w:val="333333"/>
          <w:kern w:val="0"/>
          <w:szCs w:val="21"/>
        </w:rPr>
      </w:pPr>
      <w:r w:rsidRPr="005F5FD8">
        <w:rPr>
          <w:rFonts w:ascii="仿宋_GB2312" w:eastAsia="仿宋_GB2312" w:hAnsi="宋体" w:cs="宋体" w:hint="eastAsia"/>
          <w:color w:val="333333"/>
          <w:kern w:val="0"/>
          <w:sz w:val="32"/>
          <w:szCs w:val="32"/>
        </w:rPr>
        <w:t xml:space="preserve">　　　　　　　　　　　　　　　　　　　　　　　　　　　　　吉林证监局</w:t>
      </w:r>
    </w:p>
    <w:p w14:paraId="45E951AB" w14:textId="77777777" w:rsidR="005F5FD8" w:rsidRPr="005F5FD8" w:rsidRDefault="005F5FD8" w:rsidP="005F5FD8">
      <w:pPr>
        <w:widowControl/>
        <w:shd w:val="clear" w:color="auto" w:fill="FFFFFF"/>
        <w:spacing w:line="640" w:lineRule="atLeast"/>
        <w:jc w:val="left"/>
        <w:rPr>
          <w:rFonts w:ascii="宋体" w:eastAsia="宋体" w:hAnsi="宋体" w:cs="宋体"/>
          <w:color w:val="333333"/>
          <w:kern w:val="0"/>
          <w:szCs w:val="21"/>
        </w:rPr>
      </w:pPr>
      <w:r w:rsidRPr="005F5FD8">
        <w:rPr>
          <w:rFonts w:ascii="仿宋_GB2312" w:eastAsia="仿宋_GB2312" w:hAnsi="宋体" w:cs="宋体" w:hint="eastAsia"/>
          <w:color w:val="333333"/>
          <w:kern w:val="0"/>
          <w:sz w:val="32"/>
          <w:szCs w:val="32"/>
        </w:rPr>
        <w:t xml:space="preserve">　　　　　　　　　　　　　　　　　　　　　　　　　　　 　2018年1月26日</w:t>
      </w:r>
    </w:p>
    <w:p w14:paraId="20EE645E" w14:textId="77777777" w:rsidR="006119A8" w:rsidRDefault="006119A8"/>
    <w:sectPr w:rsidR="006119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62C59" w14:textId="77777777" w:rsidR="00DE4BD9" w:rsidRDefault="00DE4BD9" w:rsidP="004E7EBA">
      <w:r>
        <w:separator/>
      </w:r>
    </w:p>
  </w:endnote>
  <w:endnote w:type="continuationSeparator" w:id="0">
    <w:p w14:paraId="59512125" w14:textId="77777777" w:rsidR="00DE4BD9" w:rsidRDefault="00DE4BD9" w:rsidP="004E7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62C44" w14:textId="77777777" w:rsidR="00DE4BD9" w:rsidRDefault="00DE4BD9" w:rsidP="004E7EBA">
      <w:r>
        <w:separator/>
      </w:r>
    </w:p>
  </w:footnote>
  <w:footnote w:type="continuationSeparator" w:id="0">
    <w:p w14:paraId="08966254" w14:textId="77777777" w:rsidR="00DE4BD9" w:rsidRDefault="00DE4BD9" w:rsidP="004E7E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FD8"/>
    <w:rsid w:val="004E7EBA"/>
    <w:rsid w:val="005F5FD8"/>
    <w:rsid w:val="006119A8"/>
    <w:rsid w:val="00DE4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1BD93"/>
  <w15:chartTrackingRefBased/>
  <w15:docId w15:val="{750E17D1-5172-4A42-A4EE-E34B2CA35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5FD8"/>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4E7EB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E7EBA"/>
    <w:rPr>
      <w:sz w:val="18"/>
      <w:szCs w:val="18"/>
    </w:rPr>
  </w:style>
  <w:style w:type="paragraph" w:styleId="a6">
    <w:name w:val="footer"/>
    <w:basedOn w:val="a"/>
    <w:link w:val="a7"/>
    <w:uiPriority w:val="99"/>
    <w:unhideWhenUsed/>
    <w:rsid w:val="004E7EBA"/>
    <w:pPr>
      <w:tabs>
        <w:tab w:val="center" w:pos="4153"/>
        <w:tab w:val="right" w:pos="8306"/>
      </w:tabs>
      <w:snapToGrid w:val="0"/>
      <w:jc w:val="left"/>
    </w:pPr>
    <w:rPr>
      <w:sz w:val="18"/>
      <w:szCs w:val="18"/>
    </w:rPr>
  </w:style>
  <w:style w:type="character" w:customStyle="1" w:styleId="a7">
    <w:name w:val="页脚 字符"/>
    <w:basedOn w:val="a0"/>
    <w:link w:val="a6"/>
    <w:uiPriority w:val="99"/>
    <w:rsid w:val="004E7E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702836">
      <w:bodyDiv w:val="1"/>
      <w:marLeft w:val="0"/>
      <w:marRight w:val="0"/>
      <w:marTop w:val="0"/>
      <w:marBottom w:val="0"/>
      <w:divBdr>
        <w:top w:val="none" w:sz="0" w:space="0" w:color="auto"/>
        <w:left w:val="none" w:sz="0" w:space="0" w:color="auto"/>
        <w:bottom w:val="none" w:sz="0" w:space="0" w:color="auto"/>
        <w:right w:val="none" w:sz="0" w:space="0" w:color="auto"/>
      </w:divBdr>
      <w:divsChild>
        <w:div w:id="251817567">
          <w:marLeft w:val="0"/>
          <w:marRight w:val="0"/>
          <w:marTop w:val="0"/>
          <w:marBottom w:val="0"/>
          <w:divBdr>
            <w:top w:val="none" w:sz="0" w:space="23" w:color="auto"/>
            <w:left w:val="none" w:sz="0" w:space="31" w:color="auto"/>
            <w:bottom w:val="single" w:sz="12" w:space="11" w:color="CCCCCC"/>
            <w:right w:val="none" w:sz="0" w:space="31" w:color="auto"/>
          </w:divBdr>
        </w:div>
        <w:div w:id="1812554035">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2021-09-28T12:17:00Z</dcterms:created>
  <dcterms:modified xsi:type="dcterms:W3CDTF">2021-09-30T05:25:00Z</dcterms:modified>
</cp:coreProperties>
</file>