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574C" w:rsidRPr="006F486D" w:rsidRDefault="000F574C" w:rsidP="006853F1">
      <w:pPr>
        <w:widowControl/>
        <w:wordWrap w:val="0"/>
        <w:spacing w:line="360" w:lineRule="auto"/>
        <w:jc w:val="center"/>
        <w:rPr>
          <w:rFonts w:ascii="宋体" w:hAnsi="宋体" w:cs="宋体" w:hint="eastAsia"/>
          <w:b/>
          <w:bCs/>
          <w:kern w:val="0"/>
          <w:sz w:val="36"/>
        </w:rPr>
      </w:pPr>
      <w:r w:rsidRPr="006F486D">
        <w:rPr>
          <w:rFonts w:ascii="宋体" w:hAnsi="宋体" w:cs="宋体" w:hint="eastAsia"/>
          <w:b/>
          <w:bCs/>
          <w:kern w:val="0"/>
          <w:sz w:val="36"/>
        </w:rPr>
        <w:t>中国证券监督管理委员会天津监管局</w:t>
      </w:r>
    </w:p>
    <w:p w:rsidR="006853F1" w:rsidRPr="006F486D" w:rsidRDefault="006853F1" w:rsidP="006853F1">
      <w:pPr>
        <w:widowControl/>
        <w:wordWrap w:val="0"/>
        <w:spacing w:line="360" w:lineRule="auto"/>
        <w:jc w:val="center"/>
        <w:rPr>
          <w:rFonts w:ascii="宋体" w:hAnsi="宋体" w:cs="宋体"/>
          <w:kern w:val="0"/>
          <w:szCs w:val="21"/>
        </w:rPr>
      </w:pPr>
      <w:r w:rsidRPr="006F486D">
        <w:rPr>
          <w:rFonts w:ascii="宋体" w:hAnsi="宋体" w:cs="宋体" w:hint="eastAsia"/>
          <w:b/>
          <w:bCs/>
          <w:kern w:val="0"/>
          <w:sz w:val="36"/>
        </w:rPr>
        <w:t>行政处罚决定书</w:t>
      </w:r>
    </w:p>
    <w:p w:rsidR="006853F1" w:rsidRPr="006853F1" w:rsidRDefault="006853F1" w:rsidP="006853F1">
      <w:pPr>
        <w:widowControl/>
        <w:wordWrap w:val="0"/>
        <w:spacing w:line="360" w:lineRule="auto"/>
        <w:jc w:val="left"/>
        <w:rPr>
          <w:rFonts w:eastAsia="楷体" w:hint="eastAsia"/>
          <w:color w:val="000000"/>
          <w:kern w:val="0"/>
          <w:szCs w:val="21"/>
        </w:rPr>
      </w:pPr>
    </w:p>
    <w:p w:rsidR="000F574C" w:rsidRDefault="000F574C" w:rsidP="000F574C">
      <w:pPr>
        <w:widowControl/>
        <w:spacing w:line="360" w:lineRule="auto"/>
        <w:rPr>
          <w:rFonts w:eastAsia="楷体" w:hint="eastAsia"/>
          <w:color w:val="000000"/>
          <w:kern w:val="0"/>
          <w:szCs w:val="21"/>
        </w:rPr>
      </w:pPr>
    </w:p>
    <w:p w:rsidR="00CC3E75" w:rsidRPr="00053B90" w:rsidRDefault="006853F1" w:rsidP="00490027">
      <w:pPr>
        <w:widowControl/>
        <w:spacing w:line="360" w:lineRule="auto"/>
        <w:ind w:firstLineChars="200" w:firstLine="640"/>
        <w:rPr>
          <w:rFonts w:ascii="仿宋_GB2312" w:eastAsia="仿宋_GB2312" w:hAnsi="宋体" w:cs="宋体" w:hint="eastAsia"/>
          <w:kern w:val="0"/>
          <w:sz w:val="32"/>
          <w:szCs w:val="32"/>
        </w:rPr>
      </w:pPr>
      <w:r w:rsidRPr="00053B90">
        <w:rPr>
          <w:rFonts w:ascii="仿宋_GB2312" w:eastAsia="仿宋_GB2312" w:hAnsi="宋体" w:cs="宋体" w:hint="eastAsia"/>
          <w:kern w:val="0"/>
          <w:sz w:val="32"/>
          <w:szCs w:val="32"/>
        </w:rPr>
        <w:t>当事人：</w:t>
      </w:r>
      <w:r w:rsidR="006F486D" w:rsidRPr="00D65158">
        <w:rPr>
          <w:rFonts w:ascii="仿宋_GB2312" w:eastAsia="仿宋_GB2312" w:hint="eastAsia"/>
          <w:sz w:val="32"/>
          <w:szCs w:val="32"/>
        </w:rPr>
        <w:t>樊瀚声</w:t>
      </w:r>
      <w:r w:rsidR="006F486D">
        <w:rPr>
          <w:rFonts w:ascii="仿宋_GB2312" w:eastAsia="仿宋_GB2312" w:hint="eastAsia"/>
          <w:sz w:val="32"/>
          <w:szCs w:val="32"/>
        </w:rPr>
        <w:t>，男，1981年1月出生，住址：内蒙古自治区赤峰市</w:t>
      </w:r>
      <w:r w:rsidR="00053B90" w:rsidRPr="00053B90">
        <w:rPr>
          <w:rFonts w:ascii="仿宋_GB2312" w:eastAsia="仿宋_GB2312" w:hint="eastAsia"/>
          <w:sz w:val="32"/>
          <w:szCs w:val="32"/>
        </w:rPr>
        <w:t>。</w:t>
      </w:r>
    </w:p>
    <w:p w:rsidR="00A70390" w:rsidRPr="00053B90" w:rsidRDefault="00A70390" w:rsidP="00490027">
      <w:pPr>
        <w:widowControl/>
        <w:spacing w:line="360" w:lineRule="auto"/>
        <w:ind w:firstLineChars="200" w:firstLine="640"/>
        <w:rPr>
          <w:rFonts w:ascii="仿宋_GB2312" w:eastAsia="仿宋_GB2312" w:hAnsi="宋体" w:cs="宋体" w:hint="eastAsia"/>
          <w:kern w:val="0"/>
          <w:sz w:val="32"/>
          <w:szCs w:val="32"/>
        </w:rPr>
      </w:pPr>
      <w:r w:rsidRPr="00053B90">
        <w:rPr>
          <w:rFonts w:ascii="仿宋_GB2312" w:eastAsia="仿宋_GB2312" w:hAnsi="宋体" w:cs="宋体" w:hint="eastAsia"/>
          <w:kern w:val="0"/>
          <w:sz w:val="32"/>
          <w:szCs w:val="32"/>
        </w:rPr>
        <w:t>依据《中华人民共和国证券法》（以下简称《证券法》）的有关规定，我局对</w:t>
      </w:r>
      <w:r w:rsidR="006F486D">
        <w:rPr>
          <w:rFonts w:ascii="仿宋_GB2312" w:eastAsia="仿宋_GB2312" w:hAnsi="仿宋_GB2312" w:hint="eastAsia"/>
          <w:sz w:val="32"/>
          <w:szCs w:val="32"/>
        </w:rPr>
        <w:t>樊瀚声内幕交易</w:t>
      </w:r>
      <w:r w:rsidR="00053B90" w:rsidRPr="00053B90">
        <w:rPr>
          <w:rFonts w:ascii="仿宋_GB2312" w:eastAsia="仿宋_GB2312" w:hAnsi="仿宋_GB2312" w:hint="eastAsia"/>
          <w:sz w:val="32"/>
          <w:szCs w:val="32"/>
        </w:rPr>
        <w:t>行为</w:t>
      </w:r>
      <w:r w:rsidRPr="00053B90">
        <w:rPr>
          <w:rFonts w:ascii="仿宋_GB2312" w:eastAsia="仿宋_GB2312" w:hAnsi="宋体" w:cs="宋体" w:hint="eastAsia"/>
          <w:kern w:val="0"/>
          <w:sz w:val="32"/>
          <w:szCs w:val="32"/>
        </w:rPr>
        <w:t>进行了立案调查、审理，并依法向当事人告知了作出行政处罚的事实、理由、依据及当事人依法享有的权利。</w:t>
      </w:r>
      <w:r w:rsidR="00053B90" w:rsidRPr="00053B90">
        <w:rPr>
          <w:rFonts w:ascii="仿宋_GB2312" w:eastAsia="仿宋_GB2312" w:hAnsi="宋体" w:cs="宋体" w:hint="eastAsia"/>
          <w:kern w:val="0"/>
          <w:sz w:val="32"/>
          <w:szCs w:val="32"/>
        </w:rPr>
        <w:t>当事人未提出陈述、申辩意见，也未要求听证。</w:t>
      </w:r>
      <w:r w:rsidRPr="00053B90">
        <w:rPr>
          <w:rFonts w:ascii="仿宋_GB2312" w:eastAsia="仿宋_GB2312" w:hAnsi="宋体" w:cs="宋体" w:hint="eastAsia"/>
          <w:kern w:val="0"/>
          <w:sz w:val="32"/>
          <w:szCs w:val="32"/>
        </w:rPr>
        <w:t>本案现已调查、审理终结。</w:t>
      </w:r>
    </w:p>
    <w:p w:rsidR="00A70390" w:rsidRDefault="00A70390" w:rsidP="00490027">
      <w:pPr>
        <w:widowControl/>
        <w:spacing w:line="360" w:lineRule="auto"/>
        <w:ind w:firstLineChars="200" w:firstLine="640"/>
        <w:rPr>
          <w:rFonts w:ascii="仿宋_GB2312" w:eastAsia="仿宋_GB2312" w:hAnsi="宋体" w:cs="宋体" w:hint="eastAsia"/>
          <w:kern w:val="0"/>
          <w:sz w:val="32"/>
          <w:szCs w:val="32"/>
        </w:rPr>
      </w:pPr>
      <w:r w:rsidRPr="006853F1">
        <w:rPr>
          <w:rFonts w:ascii="仿宋_GB2312" w:eastAsia="仿宋_GB2312" w:hAnsi="宋体" w:cs="宋体" w:hint="eastAsia"/>
          <w:kern w:val="0"/>
          <w:sz w:val="32"/>
          <w:szCs w:val="32"/>
        </w:rPr>
        <w:t>经查明，</w:t>
      </w:r>
      <w:r w:rsidR="00D22E13">
        <w:rPr>
          <w:rFonts w:ascii="仿宋_GB2312" w:eastAsia="仿宋_GB2312" w:hAnsi="宋体" w:cs="宋体" w:hint="eastAsia"/>
          <w:kern w:val="0"/>
          <w:sz w:val="32"/>
          <w:szCs w:val="32"/>
        </w:rPr>
        <w:t>樊瀚声内幕交易</w:t>
      </w:r>
      <w:r w:rsidR="007571E0">
        <w:rPr>
          <w:rFonts w:ascii="仿宋_GB2312" w:eastAsia="仿宋_GB2312" w:hAnsi="宋体" w:cs="宋体" w:hint="eastAsia"/>
          <w:kern w:val="0"/>
          <w:sz w:val="32"/>
          <w:szCs w:val="32"/>
        </w:rPr>
        <w:t>的</w:t>
      </w:r>
      <w:r w:rsidR="00053B90">
        <w:rPr>
          <w:rFonts w:ascii="仿宋_GB2312" w:eastAsia="仿宋_GB2312" w:hAnsi="宋体" w:cs="宋体" w:hint="eastAsia"/>
          <w:kern w:val="0"/>
          <w:sz w:val="32"/>
          <w:szCs w:val="32"/>
        </w:rPr>
        <w:t>事实如下</w:t>
      </w:r>
      <w:r w:rsidRPr="006853F1">
        <w:rPr>
          <w:rFonts w:ascii="仿宋_GB2312" w:eastAsia="仿宋_GB2312" w:hAnsi="宋体" w:cs="宋体" w:hint="eastAsia"/>
          <w:kern w:val="0"/>
          <w:sz w:val="32"/>
          <w:szCs w:val="32"/>
        </w:rPr>
        <w:t>：</w:t>
      </w:r>
    </w:p>
    <w:p w:rsidR="007571E0" w:rsidRPr="00F7441F" w:rsidRDefault="007571E0" w:rsidP="007571E0">
      <w:pPr>
        <w:spacing w:line="360" w:lineRule="auto"/>
        <w:ind w:firstLineChars="200" w:firstLine="640"/>
        <w:outlineLvl w:val="0"/>
        <w:rPr>
          <w:rFonts w:ascii="黑体" w:eastAsia="黑体" w:hAnsi="仿宋_GB2312" w:hint="eastAsia"/>
          <w:sz w:val="32"/>
          <w:szCs w:val="32"/>
        </w:rPr>
      </w:pPr>
      <w:r w:rsidRPr="00F7441F">
        <w:rPr>
          <w:rFonts w:ascii="黑体" w:eastAsia="黑体" w:hAnsi="仿宋_GB2312" w:hint="eastAsia"/>
          <w:sz w:val="32"/>
          <w:szCs w:val="32"/>
        </w:rPr>
        <w:t>一、内幕信息的形成及公开过程</w:t>
      </w:r>
    </w:p>
    <w:p w:rsidR="007571E0" w:rsidRPr="00D47C32" w:rsidRDefault="00D42C0C" w:rsidP="007571E0">
      <w:pPr>
        <w:ind w:firstLineChars="200" w:firstLine="640"/>
        <w:rPr>
          <w:rFonts w:ascii="仿宋_GB2312" w:eastAsia="仿宋_GB2312" w:hint="eastAsia"/>
          <w:sz w:val="32"/>
          <w:szCs w:val="32"/>
        </w:rPr>
      </w:pPr>
      <w:r>
        <w:rPr>
          <w:rFonts w:ascii="仿宋_GB2312" w:eastAsia="仿宋_GB2312" w:hint="eastAsia"/>
          <w:sz w:val="32"/>
          <w:szCs w:val="32"/>
        </w:rPr>
        <w:t>内蒙古兴业矿业股份有限公司（以下简称兴业股份</w:t>
      </w:r>
      <w:r w:rsidR="007571E0" w:rsidRPr="00D47C32">
        <w:rPr>
          <w:rFonts w:ascii="仿宋_GB2312" w:eastAsia="仿宋_GB2312" w:hint="eastAsia"/>
          <w:sz w:val="32"/>
          <w:szCs w:val="32"/>
        </w:rPr>
        <w:t>），股票简称“兴业矿业”</w:t>
      </w:r>
      <w:r>
        <w:rPr>
          <w:rFonts w:ascii="仿宋_GB2312" w:eastAsia="仿宋_GB2312" w:hint="eastAsia"/>
          <w:sz w:val="32"/>
          <w:szCs w:val="32"/>
        </w:rPr>
        <w:t>。兴业股份第一大股东为内蒙古兴业集团股份有限公司（以下简称兴业集团</w:t>
      </w:r>
      <w:r w:rsidR="007571E0" w:rsidRPr="00D47C32">
        <w:rPr>
          <w:rFonts w:ascii="仿宋_GB2312" w:eastAsia="仿宋_GB2312" w:hint="eastAsia"/>
          <w:sz w:val="32"/>
          <w:szCs w:val="32"/>
        </w:rPr>
        <w:t>）。</w:t>
      </w:r>
      <w:r w:rsidR="007571E0" w:rsidRPr="00CD2B33">
        <w:rPr>
          <w:rFonts w:ascii="仿宋_GB2312" w:eastAsia="仿宋_GB2312" w:hint="eastAsia"/>
          <w:sz w:val="32"/>
          <w:szCs w:val="32"/>
          <w:highlight w:val="yellow"/>
        </w:rPr>
        <w:t>吉</w:t>
      </w:r>
      <w:r w:rsidRPr="00CD2B33">
        <w:rPr>
          <w:rFonts w:ascii="仿宋_GB2312" w:eastAsia="仿宋_GB2312" w:hint="eastAsia"/>
          <w:sz w:val="32"/>
          <w:szCs w:val="32"/>
          <w:highlight w:val="yellow"/>
        </w:rPr>
        <w:t>某业</w:t>
      </w:r>
      <w:r w:rsidR="00EB72B7" w:rsidRPr="00CD2B33">
        <w:rPr>
          <w:rFonts w:ascii="仿宋_GB2312" w:eastAsia="仿宋_GB2312" w:hint="eastAsia"/>
          <w:sz w:val="32"/>
          <w:szCs w:val="32"/>
          <w:highlight w:val="yellow"/>
        </w:rPr>
        <w:t>，</w:t>
      </w:r>
      <w:r w:rsidR="007571E0" w:rsidRPr="00CD2B33">
        <w:rPr>
          <w:rFonts w:ascii="仿宋_GB2312" w:eastAsia="仿宋_GB2312" w:hint="eastAsia"/>
          <w:sz w:val="32"/>
          <w:szCs w:val="32"/>
          <w:highlight w:val="yellow"/>
        </w:rPr>
        <w:t>同时</w:t>
      </w:r>
      <w:r w:rsidRPr="00CD2B33">
        <w:rPr>
          <w:rFonts w:ascii="仿宋_GB2312" w:eastAsia="仿宋_GB2312" w:hint="eastAsia"/>
          <w:sz w:val="32"/>
          <w:szCs w:val="32"/>
          <w:highlight w:val="yellow"/>
        </w:rPr>
        <w:t>为兴业股份董事长、</w:t>
      </w:r>
      <w:r w:rsidR="007571E0" w:rsidRPr="00CD2B33">
        <w:rPr>
          <w:rFonts w:ascii="仿宋_GB2312" w:eastAsia="仿宋_GB2312" w:hint="eastAsia"/>
          <w:sz w:val="32"/>
          <w:szCs w:val="32"/>
          <w:highlight w:val="yellow"/>
        </w:rPr>
        <w:t>兴业集团董事长，</w:t>
      </w:r>
      <w:r w:rsidRPr="00CD2B33">
        <w:rPr>
          <w:rFonts w:ascii="仿宋_GB2312" w:eastAsia="仿宋_GB2312" w:hint="eastAsia"/>
          <w:sz w:val="32"/>
          <w:szCs w:val="32"/>
          <w:highlight w:val="yellow"/>
        </w:rPr>
        <w:t>也是</w:t>
      </w:r>
      <w:r w:rsidR="007571E0" w:rsidRPr="00CD2B33">
        <w:rPr>
          <w:rFonts w:ascii="仿宋_GB2312" w:eastAsia="仿宋_GB2312" w:hint="eastAsia"/>
          <w:sz w:val="32"/>
          <w:szCs w:val="32"/>
          <w:highlight w:val="yellow"/>
        </w:rPr>
        <w:t>兴业股份实际控制人。</w:t>
      </w:r>
    </w:p>
    <w:p w:rsidR="007571E0" w:rsidRDefault="007571E0" w:rsidP="007571E0">
      <w:pPr>
        <w:ind w:firstLineChars="200" w:firstLine="640"/>
        <w:rPr>
          <w:rFonts w:ascii="仿宋_GB2312" w:eastAsia="仿宋_GB2312" w:hint="eastAsia"/>
          <w:sz w:val="32"/>
          <w:szCs w:val="32"/>
        </w:rPr>
      </w:pPr>
      <w:r w:rsidRPr="00D47C32">
        <w:rPr>
          <w:rFonts w:ascii="仿宋_GB2312" w:eastAsia="仿宋_GB2312" w:hint="eastAsia"/>
          <w:sz w:val="32"/>
          <w:szCs w:val="32"/>
        </w:rPr>
        <w:t>西乌珠穆沁旗银漫矿业有限责任公司（以下简称“银漫矿业”），经营范围包括筹建锌、铅、银、铜、锡采矿、选矿前期工程等。兴业集团及其一致行动人持有银漫矿业94.45%股权。</w:t>
      </w:r>
    </w:p>
    <w:p w:rsidR="007571E0" w:rsidRPr="00D47C32" w:rsidRDefault="007571E0" w:rsidP="007571E0">
      <w:pPr>
        <w:ind w:firstLineChars="200" w:firstLine="640"/>
        <w:rPr>
          <w:rFonts w:ascii="仿宋_GB2312" w:eastAsia="仿宋_GB2312" w:hint="eastAsia"/>
          <w:sz w:val="32"/>
          <w:szCs w:val="32"/>
        </w:rPr>
      </w:pPr>
      <w:r w:rsidRPr="00D47C32">
        <w:rPr>
          <w:rFonts w:ascii="仿宋_GB2312" w:eastAsia="仿宋_GB2312" w:hint="eastAsia"/>
          <w:sz w:val="32"/>
          <w:szCs w:val="32"/>
        </w:rPr>
        <w:t>2012年6月，兴业集团开始启动办理</w:t>
      </w:r>
      <w:r w:rsidRPr="00992C01">
        <w:rPr>
          <w:rFonts w:ascii="仿宋_GB2312" w:eastAsia="仿宋_GB2312" w:hint="eastAsia"/>
          <w:sz w:val="32"/>
          <w:szCs w:val="32"/>
        </w:rPr>
        <w:t>银漫矿业采矿许可</w:t>
      </w:r>
      <w:r w:rsidRPr="00992C01">
        <w:rPr>
          <w:rFonts w:ascii="仿宋_GB2312" w:eastAsia="仿宋_GB2312" w:hint="eastAsia"/>
          <w:sz w:val="32"/>
          <w:szCs w:val="32"/>
        </w:rPr>
        <w:lastRenderedPageBreak/>
        <w:t>证</w:t>
      </w:r>
      <w:r w:rsidRPr="00D47C32">
        <w:rPr>
          <w:rFonts w:ascii="仿宋_GB2312" w:eastAsia="仿宋_GB2312" w:hint="eastAsia"/>
          <w:sz w:val="32"/>
          <w:szCs w:val="32"/>
        </w:rPr>
        <w:t>。办理银漫矿业采矿许可证具体过程的主要参与人为杨</w:t>
      </w:r>
      <w:r w:rsidR="00D42C0C">
        <w:rPr>
          <w:rFonts w:ascii="仿宋_GB2312" w:eastAsia="仿宋_GB2312" w:hint="eastAsia"/>
          <w:sz w:val="32"/>
          <w:szCs w:val="32"/>
        </w:rPr>
        <w:t>某</w:t>
      </w:r>
      <w:r w:rsidRPr="00D47C32">
        <w:rPr>
          <w:rFonts w:ascii="仿宋_GB2312" w:eastAsia="仿宋_GB2312" w:hint="eastAsia"/>
          <w:sz w:val="32"/>
          <w:szCs w:val="32"/>
        </w:rPr>
        <w:t>林（兴业股份战略投资部总经理助理），办理许可证的关键节点</w:t>
      </w:r>
      <w:r w:rsidR="00337A01">
        <w:rPr>
          <w:rFonts w:ascii="仿宋_GB2312" w:eastAsia="仿宋_GB2312" w:hint="eastAsia"/>
          <w:sz w:val="32"/>
          <w:szCs w:val="32"/>
        </w:rPr>
        <w:t>杨某林</w:t>
      </w:r>
      <w:r w:rsidRPr="00D47C32">
        <w:rPr>
          <w:rFonts w:ascii="仿宋_GB2312" w:eastAsia="仿宋_GB2312" w:hint="eastAsia"/>
          <w:sz w:val="32"/>
          <w:szCs w:val="32"/>
        </w:rPr>
        <w:t>直接向</w:t>
      </w:r>
      <w:r w:rsidR="00D42C0C">
        <w:rPr>
          <w:rFonts w:ascii="仿宋_GB2312" w:eastAsia="仿宋_GB2312" w:hint="eastAsia"/>
          <w:sz w:val="32"/>
          <w:szCs w:val="32"/>
        </w:rPr>
        <w:t>吉某业</w:t>
      </w:r>
      <w:r w:rsidRPr="00D47C32">
        <w:rPr>
          <w:rFonts w:ascii="仿宋_GB2312" w:eastAsia="仿宋_GB2312" w:hint="eastAsia"/>
          <w:sz w:val="32"/>
          <w:szCs w:val="32"/>
        </w:rPr>
        <w:t>汇报。</w:t>
      </w:r>
    </w:p>
    <w:p w:rsidR="007571E0" w:rsidRDefault="007571E0" w:rsidP="007571E0">
      <w:pPr>
        <w:ind w:firstLineChars="200" w:firstLine="640"/>
        <w:rPr>
          <w:rFonts w:ascii="仿宋_GB2312" w:eastAsia="仿宋_GB2312" w:hint="eastAsia"/>
          <w:sz w:val="32"/>
          <w:szCs w:val="32"/>
        </w:rPr>
      </w:pPr>
      <w:r>
        <w:rPr>
          <w:rFonts w:ascii="仿宋_GB2312" w:eastAsia="仿宋_GB2312" w:hint="eastAsia"/>
          <w:sz w:val="32"/>
          <w:szCs w:val="32"/>
        </w:rPr>
        <w:t>在</w:t>
      </w:r>
      <w:r w:rsidRPr="00D47C32">
        <w:rPr>
          <w:rFonts w:ascii="仿宋_GB2312" w:eastAsia="仿宋_GB2312" w:hint="eastAsia"/>
          <w:sz w:val="32"/>
          <w:szCs w:val="32"/>
        </w:rPr>
        <w:t>编制可行性研究报告、开发利用方案、矿业地质环境综合治理方案等阶段后，2013年12月起，</w:t>
      </w:r>
      <w:r w:rsidR="00337A01">
        <w:rPr>
          <w:rFonts w:ascii="仿宋_GB2312" w:eastAsia="仿宋_GB2312" w:hint="eastAsia"/>
          <w:sz w:val="32"/>
          <w:szCs w:val="32"/>
        </w:rPr>
        <w:t>杨某林</w:t>
      </w:r>
      <w:r w:rsidRPr="00D47C32">
        <w:rPr>
          <w:rFonts w:ascii="仿宋_GB2312" w:eastAsia="仿宋_GB2312" w:hint="eastAsia"/>
          <w:sz w:val="32"/>
          <w:szCs w:val="32"/>
        </w:rPr>
        <w:t>开始办理</w:t>
      </w:r>
      <w:r>
        <w:rPr>
          <w:rFonts w:ascii="仿宋_GB2312" w:eastAsia="仿宋_GB2312" w:hint="eastAsia"/>
          <w:sz w:val="32"/>
          <w:szCs w:val="32"/>
        </w:rPr>
        <w:t>银漫矿业建设项目环境影响评价审批程序。</w:t>
      </w:r>
      <w:r w:rsidRPr="00992C01">
        <w:rPr>
          <w:rFonts w:ascii="仿宋_GB2312" w:eastAsia="仿宋_GB2312" w:hint="eastAsia"/>
          <w:sz w:val="32"/>
          <w:szCs w:val="32"/>
        </w:rPr>
        <w:t>2014年10月20日，</w:t>
      </w:r>
      <w:r w:rsidR="00337A01">
        <w:rPr>
          <w:rFonts w:ascii="仿宋_GB2312" w:eastAsia="仿宋_GB2312" w:hint="eastAsia"/>
          <w:sz w:val="32"/>
          <w:szCs w:val="32"/>
        </w:rPr>
        <w:t>杨某林</w:t>
      </w:r>
      <w:r>
        <w:rPr>
          <w:rFonts w:ascii="仿宋_GB2312" w:eastAsia="仿宋_GB2312" w:hint="eastAsia"/>
          <w:sz w:val="32"/>
          <w:szCs w:val="32"/>
        </w:rPr>
        <w:t>获悉</w:t>
      </w:r>
      <w:r w:rsidRPr="00D47C32">
        <w:rPr>
          <w:rFonts w:ascii="仿宋_GB2312" w:eastAsia="仿宋_GB2312" w:hint="eastAsia"/>
          <w:sz w:val="32"/>
          <w:szCs w:val="32"/>
        </w:rPr>
        <w:t>银漫矿业环评项目处务会评审、厅务会评审通过。同日</w:t>
      </w:r>
      <w:r>
        <w:rPr>
          <w:rFonts w:ascii="仿宋_GB2312" w:eastAsia="仿宋_GB2312" w:hint="eastAsia"/>
          <w:sz w:val="32"/>
          <w:szCs w:val="32"/>
        </w:rPr>
        <w:t>下午</w:t>
      </w:r>
      <w:r w:rsidRPr="00D47C32">
        <w:rPr>
          <w:rFonts w:ascii="仿宋_GB2312" w:eastAsia="仿宋_GB2312" w:hint="eastAsia"/>
          <w:sz w:val="32"/>
          <w:szCs w:val="32"/>
        </w:rPr>
        <w:t>，</w:t>
      </w:r>
      <w:r w:rsidR="00337A01">
        <w:rPr>
          <w:rFonts w:ascii="仿宋_GB2312" w:eastAsia="仿宋_GB2312" w:hint="eastAsia"/>
          <w:sz w:val="32"/>
          <w:szCs w:val="32"/>
        </w:rPr>
        <w:t>杨某林</w:t>
      </w:r>
      <w:r w:rsidRPr="00D47C32">
        <w:rPr>
          <w:rFonts w:ascii="仿宋_GB2312" w:eastAsia="仿宋_GB2312" w:hint="eastAsia"/>
          <w:sz w:val="32"/>
          <w:szCs w:val="32"/>
        </w:rPr>
        <w:t>向</w:t>
      </w:r>
      <w:r w:rsidR="00D42C0C">
        <w:rPr>
          <w:rFonts w:ascii="仿宋_GB2312" w:eastAsia="仿宋_GB2312" w:hint="eastAsia"/>
          <w:sz w:val="32"/>
          <w:szCs w:val="32"/>
        </w:rPr>
        <w:t>吉某业</w:t>
      </w:r>
      <w:r w:rsidRPr="00D47C32">
        <w:rPr>
          <w:rFonts w:ascii="仿宋_GB2312" w:eastAsia="仿宋_GB2312" w:hint="eastAsia"/>
          <w:sz w:val="32"/>
          <w:szCs w:val="32"/>
        </w:rPr>
        <w:t>发送短信</w:t>
      </w:r>
      <w:r w:rsidR="00337A01">
        <w:rPr>
          <w:rFonts w:ascii="仿宋_GB2312" w:eastAsia="仿宋_GB2312" w:hint="eastAsia"/>
          <w:sz w:val="32"/>
          <w:szCs w:val="32"/>
        </w:rPr>
        <w:t>告知此事。</w:t>
      </w:r>
    </w:p>
    <w:p w:rsidR="007571E0" w:rsidRPr="00D47C32" w:rsidRDefault="00D42C0C" w:rsidP="007571E0">
      <w:pPr>
        <w:ind w:firstLineChars="200" w:firstLine="640"/>
        <w:rPr>
          <w:rFonts w:ascii="仿宋_GB2312" w:eastAsia="仿宋_GB2312" w:hint="eastAsia"/>
          <w:sz w:val="32"/>
          <w:szCs w:val="32"/>
        </w:rPr>
      </w:pPr>
      <w:r>
        <w:rPr>
          <w:rFonts w:ascii="仿宋_GB2312" w:eastAsia="仿宋_GB2312" w:hint="eastAsia"/>
          <w:sz w:val="32"/>
          <w:szCs w:val="32"/>
        </w:rPr>
        <w:t>吉某业</w:t>
      </w:r>
      <w:r w:rsidR="00E736D1">
        <w:rPr>
          <w:rFonts w:ascii="仿宋_GB2312" w:eastAsia="仿宋_GB2312" w:hint="eastAsia"/>
          <w:sz w:val="32"/>
          <w:szCs w:val="32"/>
        </w:rPr>
        <w:t>称，</w:t>
      </w:r>
      <w:r w:rsidR="007571E0">
        <w:rPr>
          <w:rFonts w:ascii="仿宋_GB2312" w:eastAsia="仿宋_GB2312" w:hint="eastAsia"/>
          <w:sz w:val="32"/>
          <w:szCs w:val="32"/>
        </w:rPr>
        <w:t>以</w:t>
      </w:r>
      <w:r w:rsidR="00E736D1">
        <w:rPr>
          <w:rFonts w:ascii="仿宋_GB2312" w:eastAsia="仿宋_GB2312" w:hint="eastAsia"/>
          <w:sz w:val="32"/>
          <w:szCs w:val="32"/>
        </w:rPr>
        <w:t>其</w:t>
      </w:r>
      <w:r w:rsidR="007571E0">
        <w:rPr>
          <w:rFonts w:ascii="仿宋_GB2312" w:eastAsia="仿宋_GB2312" w:hint="eastAsia"/>
          <w:sz w:val="32"/>
          <w:szCs w:val="32"/>
        </w:rPr>
        <w:t>判断，三次会（专家评审会、处务会、厅务会）都通过后，环评已经通过，</w:t>
      </w:r>
      <w:r w:rsidR="007571E0" w:rsidRPr="00992C01">
        <w:rPr>
          <w:rFonts w:ascii="仿宋_GB2312" w:eastAsia="仿宋_GB2312" w:hint="eastAsia"/>
          <w:sz w:val="32"/>
          <w:szCs w:val="32"/>
        </w:rPr>
        <w:t>心里就已经有预</w:t>
      </w:r>
      <w:r w:rsidR="00EB72B7">
        <w:rPr>
          <w:rFonts w:ascii="仿宋_GB2312" w:eastAsia="仿宋_GB2312" w:hint="eastAsia"/>
          <w:sz w:val="32"/>
          <w:szCs w:val="32"/>
        </w:rPr>
        <w:t>期了，</w:t>
      </w:r>
      <w:r w:rsidR="007571E0" w:rsidRPr="00992C01">
        <w:rPr>
          <w:rFonts w:ascii="仿宋_GB2312" w:eastAsia="仿宋_GB2312" w:hint="eastAsia"/>
          <w:sz w:val="32"/>
          <w:szCs w:val="32"/>
        </w:rPr>
        <w:t>筹划将银漫矿业注入上市公司</w:t>
      </w:r>
      <w:r w:rsidR="00E736D1">
        <w:rPr>
          <w:rFonts w:ascii="仿宋_GB2312" w:eastAsia="仿宋_GB2312" w:hint="eastAsia"/>
          <w:sz w:val="32"/>
          <w:szCs w:val="32"/>
        </w:rPr>
        <w:t>；因</w:t>
      </w:r>
      <w:r w:rsidR="007571E0">
        <w:rPr>
          <w:rFonts w:ascii="仿宋_GB2312" w:eastAsia="仿宋_GB2312" w:hint="eastAsia"/>
          <w:sz w:val="32"/>
          <w:szCs w:val="32"/>
        </w:rPr>
        <w:t>考虑</w:t>
      </w:r>
      <w:r w:rsidR="007571E0" w:rsidRPr="00D47C32">
        <w:rPr>
          <w:rFonts w:ascii="仿宋_GB2312" w:eastAsia="仿宋_GB2312" w:hint="eastAsia"/>
          <w:sz w:val="32"/>
          <w:szCs w:val="32"/>
        </w:rPr>
        <w:t>到为停牌后重组草案、预案的制定预留足够的时间，</w:t>
      </w:r>
      <w:r w:rsidR="00E736D1">
        <w:rPr>
          <w:rFonts w:ascii="仿宋_GB2312" w:eastAsia="仿宋_GB2312" w:hint="eastAsia"/>
          <w:sz w:val="32"/>
          <w:szCs w:val="32"/>
        </w:rPr>
        <w:t>所以没有立即停牌。</w:t>
      </w:r>
    </w:p>
    <w:p w:rsidR="007571E0" w:rsidRDefault="007571E0" w:rsidP="007571E0">
      <w:pPr>
        <w:ind w:firstLineChars="200" w:firstLine="640"/>
        <w:rPr>
          <w:rFonts w:ascii="仿宋_GB2312" w:eastAsia="仿宋_GB2312" w:hint="eastAsia"/>
          <w:sz w:val="32"/>
          <w:szCs w:val="32"/>
        </w:rPr>
      </w:pPr>
      <w:r w:rsidRPr="00992C01">
        <w:rPr>
          <w:rFonts w:ascii="仿宋_GB2312" w:eastAsia="仿宋_GB2312" w:hint="eastAsia"/>
          <w:sz w:val="32"/>
          <w:szCs w:val="32"/>
        </w:rPr>
        <w:t>2014年12月11日</w:t>
      </w:r>
      <w:r w:rsidRPr="00D47C32">
        <w:rPr>
          <w:rFonts w:ascii="仿宋_GB2312" w:eastAsia="仿宋_GB2312" w:hint="eastAsia"/>
          <w:sz w:val="32"/>
          <w:szCs w:val="32"/>
        </w:rPr>
        <w:t>，“兴业矿业”自开市起</w:t>
      </w:r>
      <w:r w:rsidRPr="00992C01">
        <w:rPr>
          <w:rFonts w:ascii="仿宋_GB2312" w:eastAsia="仿宋_GB2312" w:hint="eastAsia"/>
          <w:sz w:val="32"/>
          <w:szCs w:val="32"/>
        </w:rPr>
        <w:t>停牌</w:t>
      </w:r>
      <w:r w:rsidRPr="00D47C32">
        <w:rPr>
          <w:rFonts w:ascii="仿宋_GB2312" w:eastAsia="仿宋_GB2312" w:hint="eastAsia"/>
          <w:sz w:val="32"/>
          <w:szCs w:val="32"/>
        </w:rPr>
        <w:t>。</w:t>
      </w:r>
    </w:p>
    <w:p w:rsidR="007571E0" w:rsidRPr="00D47C32" w:rsidRDefault="007571E0" w:rsidP="007571E0">
      <w:pPr>
        <w:ind w:firstLineChars="200" w:firstLine="640"/>
        <w:rPr>
          <w:rFonts w:ascii="仿宋_GB2312" w:eastAsia="仿宋_GB2312" w:hint="eastAsia"/>
          <w:sz w:val="32"/>
          <w:szCs w:val="32"/>
        </w:rPr>
      </w:pPr>
      <w:r w:rsidRPr="00D47C32">
        <w:rPr>
          <w:rFonts w:ascii="仿宋_GB2312" w:eastAsia="仿宋_GB2312" w:hint="eastAsia"/>
          <w:sz w:val="32"/>
          <w:szCs w:val="32"/>
        </w:rPr>
        <w:t>2015年2月12日，兴业股份发布《关于筹划重组停牌期满申请继续停牌公告》，称本次筹划的重大资产重组事项中的发行股份购买资产的交易对手方为银漫矿业的所有股东，拟采用发行股份的方式收购银漫矿业100%的股权。</w:t>
      </w:r>
    </w:p>
    <w:p w:rsidR="007571E0" w:rsidRPr="00D47C32" w:rsidRDefault="007571E0" w:rsidP="007571E0">
      <w:pPr>
        <w:ind w:firstLineChars="200" w:firstLine="640"/>
        <w:rPr>
          <w:rFonts w:ascii="仿宋_GB2312" w:eastAsia="仿宋_GB2312" w:hint="eastAsia"/>
          <w:sz w:val="32"/>
          <w:szCs w:val="32"/>
        </w:rPr>
      </w:pPr>
      <w:r w:rsidRPr="00D47C32">
        <w:rPr>
          <w:rFonts w:ascii="仿宋_GB2312" w:eastAsia="仿宋_GB2312" w:hint="eastAsia"/>
          <w:sz w:val="32"/>
          <w:szCs w:val="32"/>
        </w:rPr>
        <w:t>2015年3月25日，</w:t>
      </w:r>
      <w:r w:rsidR="00542508" w:rsidRPr="00D47C32">
        <w:rPr>
          <w:rFonts w:ascii="仿宋_GB2312" w:eastAsia="仿宋_GB2312" w:hint="eastAsia"/>
          <w:sz w:val="32"/>
          <w:szCs w:val="32"/>
        </w:rPr>
        <w:t>兴业股份</w:t>
      </w:r>
      <w:r w:rsidRPr="00D47C32">
        <w:rPr>
          <w:rFonts w:ascii="仿宋_GB2312" w:eastAsia="仿宋_GB2312" w:hint="eastAsia"/>
          <w:sz w:val="32"/>
          <w:szCs w:val="32"/>
        </w:rPr>
        <w:t>发布《关于终止筹划重大资产重组事项暨公司证券复牌公告》，称</w:t>
      </w:r>
      <w:r>
        <w:rPr>
          <w:rFonts w:ascii="仿宋_GB2312" w:eastAsia="仿宋_GB2312" w:hint="eastAsia"/>
          <w:sz w:val="32"/>
          <w:szCs w:val="32"/>
        </w:rPr>
        <w:t>终止筹划本次重组事宜，公司股票将于</w:t>
      </w:r>
      <w:r w:rsidRPr="00992C01">
        <w:rPr>
          <w:rFonts w:ascii="仿宋_GB2312" w:eastAsia="仿宋_GB2312" w:hint="eastAsia"/>
          <w:sz w:val="32"/>
          <w:szCs w:val="32"/>
        </w:rPr>
        <w:t>2015年3月25日开市起复牌</w:t>
      </w:r>
      <w:r>
        <w:rPr>
          <w:rFonts w:ascii="仿宋_GB2312" w:eastAsia="仿宋_GB2312" w:hint="eastAsia"/>
          <w:sz w:val="32"/>
          <w:szCs w:val="32"/>
        </w:rPr>
        <w:t>。</w:t>
      </w:r>
    </w:p>
    <w:p w:rsidR="007571E0" w:rsidRPr="00F7441F" w:rsidRDefault="007571E0" w:rsidP="007571E0">
      <w:pPr>
        <w:spacing w:line="360" w:lineRule="auto"/>
        <w:ind w:firstLineChars="196" w:firstLine="627"/>
        <w:rPr>
          <w:rFonts w:ascii="黑体" w:eastAsia="黑体" w:hAnsi="仿宋_GB2312" w:hint="eastAsia"/>
          <w:sz w:val="32"/>
          <w:szCs w:val="32"/>
        </w:rPr>
      </w:pPr>
      <w:r w:rsidRPr="00F7441F">
        <w:rPr>
          <w:rFonts w:ascii="黑体" w:eastAsia="黑体" w:hAnsi="仿宋_GB2312" w:hint="eastAsia"/>
          <w:sz w:val="32"/>
          <w:szCs w:val="32"/>
        </w:rPr>
        <w:t>二、樊瀚声知悉内幕信息及交易情况</w:t>
      </w:r>
    </w:p>
    <w:p w:rsidR="007571E0" w:rsidRPr="00D65158" w:rsidRDefault="007571E0" w:rsidP="007571E0">
      <w:pPr>
        <w:spacing w:line="360" w:lineRule="auto"/>
        <w:ind w:firstLineChars="196" w:firstLine="627"/>
        <w:rPr>
          <w:rFonts w:ascii="仿宋_GB2312" w:eastAsia="仿宋_GB2312" w:hAnsi="仿宋_GB2312" w:hint="eastAsia"/>
          <w:sz w:val="32"/>
          <w:szCs w:val="32"/>
        </w:rPr>
      </w:pPr>
      <w:r w:rsidRPr="00D65158">
        <w:rPr>
          <w:rFonts w:ascii="仿宋_GB2312" w:eastAsia="仿宋_GB2312" w:hint="eastAsia"/>
          <w:sz w:val="32"/>
          <w:szCs w:val="32"/>
        </w:rPr>
        <w:t>樊瀚声</w:t>
      </w:r>
      <w:r w:rsidR="0030266D">
        <w:rPr>
          <w:rFonts w:ascii="仿宋_GB2312" w:eastAsia="仿宋_GB2312" w:hint="eastAsia"/>
          <w:sz w:val="32"/>
          <w:szCs w:val="32"/>
        </w:rPr>
        <w:t>为</w:t>
      </w:r>
      <w:r w:rsidR="00D42C0C" w:rsidRPr="00CD2B33">
        <w:rPr>
          <w:rFonts w:ascii="仿宋_GB2312" w:eastAsia="仿宋_GB2312" w:hint="eastAsia"/>
          <w:color w:val="000000"/>
          <w:sz w:val="32"/>
          <w:szCs w:val="32"/>
          <w:highlight w:val="yellow"/>
        </w:rPr>
        <w:t>吉某业</w:t>
      </w:r>
      <w:r w:rsidR="0030266D">
        <w:rPr>
          <w:rFonts w:ascii="仿宋_GB2312" w:eastAsia="仿宋_GB2312" w:hint="eastAsia"/>
          <w:color w:val="000000"/>
          <w:sz w:val="32"/>
          <w:szCs w:val="32"/>
        </w:rPr>
        <w:t>女婿</w:t>
      </w:r>
      <w:r>
        <w:rPr>
          <w:rFonts w:ascii="仿宋_GB2312" w:eastAsia="仿宋_GB2312" w:hint="eastAsia"/>
          <w:color w:val="000000"/>
          <w:sz w:val="32"/>
          <w:szCs w:val="32"/>
        </w:rPr>
        <w:t>。</w:t>
      </w:r>
      <w:r w:rsidRPr="00A65763">
        <w:rPr>
          <w:rFonts w:ascii="仿宋_GB2312" w:eastAsia="仿宋_GB2312" w:hint="eastAsia"/>
          <w:color w:val="000000"/>
          <w:sz w:val="32"/>
          <w:szCs w:val="32"/>
        </w:rPr>
        <w:t>2011年</w:t>
      </w:r>
      <w:r w:rsidR="00CD230F">
        <w:rPr>
          <w:rFonts w:ascii="仿宋_GB2312" w:eastAsia="仿宋_GB2312" w:hint="eastAsia"/>
          <w:color w:val="000000"/>
          <w:sz w:val="32"/>
          <w:szCs w:val="32"/>
        </w:rPr>
        <w:t>起</w:t>
      </w:r>
      <w:r w:rsidRPr="00A65763">
        <w:rPr>
          <w:rFonts w:ascii="仿宋_GB2312" w:eastAsia="仿宋_GB2312" w:hint="eastAsia"/>
          <w:color w:val="000000"/>
          <w:sz w:val="32"/>
          <w:szCs w:val="32"/>
        </w:rPr>
        <w:t>樊瀚声</w:t>
      </w:r>
      <w:r w:rsidR="00CD230F">
        <w:rPr>
          <w:rFonts w:ascii="仿宋_GB2312" w:eastAsia="仿宋_GB2312" w:hint="eastAsia"/>
          <w:color w:val="000000"/>
          <w:sz w:val="32"/>
          <w:szCs w:val="32"/>
        </w:rPr>
        <w:t>在</w:t>
      </w:r>
      <w:r w:rsidRPr="00A65763">
        <w:rPr>
          <w:rFonts w:ascii="仿宋_GB2312" w:eastAsia="仿宋_GB2312" w:hint="eastAsia"/>
          <w:color w:val="000000"/>
          <w:sz w:val="32"/>
          <w:szCs w:val="32"/>
        </w:rPr>
        <w:t>银漫矿业担任</w:t>
      </w:r>
      <w:r w:rsidRPr="00A65763">
        <w:rPr>
          <w:rFonts w:ascii="仿宋_GB2312" w:eastAsia="仿宋_GB2312" w:hint="eastAsia"/>
          <w:color w:val="000000"/>
          <w:sz w:val="32"/>
          <w:szCs w:val="32"/>
        </w:rPr>
        <w:lastRenderedPageBreak/>
        <w:t>副总经理，</w:t>
      </w:r>
      <w:r>
        <w:rPr>
          <w:rFonts w:ascii="仿宋_GB2312" w:eastAsia="仿宋_GB2312" w:hint="eastAsia"/>
          <w:color w:val="000000"/>
          <w:sz w:val="32"/>
          <w:szCs w:val="32"/>
        </w:rPr>
        <w:t>分管行政</w:t>
      </w:r>
      <w:r w:rsidRPr="00A65763">
        <w:rPr>
          <w:rFonts w:ascii="仿宋_GB2312" w:eastAsia="仿宋_GB2312" w:hint="eastAsia"/>
          <w:color w:val="000000"/>
          <w:sz w:val="32"/>
          <w:szCs w:val="32"/>
        </w:rPr>
        <w:t>后勤等。</w:t>
      </w:r>
      <w:r w:rsidR="0030266D" w:rsidRPr="0040161C">
        <w:rPr>
          <w:rFonts w:ascii="仿宋_GB2312" w:eastAsia="仿宋_GB2312" w:hint="eastAsia"/>
          <w:color w:val="000000"/>
          <w:sz w:val="32"/>
          <w:szCs w:val="32"/>
        </w:rPr>
        <w:t>樊瀚声</w:t>
      </w:r>
      <w:r w:rsidR="0030266D">
        <w:rPr>
          <w:rFonts w:ascii="仿宋_GB2312" w:eastAsia="仿宋_GB2312" w:hint="eastAsia"/>
          <w:color w:val="000000"/>
          <w:sz w:val="32"/>
          <w:szCs w:val="32"/>
        </w:rPr>
        <w:t>和岳父母（吉某业、李某华）关系密切，且两家住对门</w:t>
      </w:r>
      <w:r w:rsidRPr="0040161C">
        <w:rPr>
          <w:rFonts w:ascii="仿宋_GB2312" w:eastAsia="仿宋_GB2312" w:hint="eastAsia"/>
          <w:color w:val="000000"/>
          <w:sz w:val="32"/>
          <w:szCs w:val="32"/>
        </w:rPr>
        <w:t>。</w:t>
      </w:r>
    </w:p>
    <w:p w:rsidR="007571E0" w:rsidRDefault="007571E0" w:rsidP="007571E0">
      <w:pPr>
        <w:tabs>
          <w:tab w:val="left" w:pos="4050"/>
        </w:tabs>
        <w:spacing w:line="360" w:lineRule="auto"/>
        <w:ind w:firstLineChars="200" w:firstLine="640"/>
        <w:rPr>
          <w:rFonts w:ascii="仿宋_GB2312" w:eastAsia="仿宋_GB2312" w:hint="eastAsia"/>
          <w:color w:val="000000"/>
          <w:sz w:val="32"/>
          <w:szCs w:val="32"/>
        </w:rPr>
      </w:pPr>
      <w:r w:rsidRPr="00D30451">
        <w:rPr>
          <w:rFonts w:ascii="仿宋_GB2312" w:eastAsia="仿宋_GB2312" w:hint="eastAsia"/>
          <w:sz w:val="32"/>
          <w:szCs w:val="32"/>
        </w:rPr>
        <w:t>2014年10月22日，樊瀚声带着</w:t>
      </w:r>
      <w:r w:rsidR="00D42C0C">
        <w:rPr>
          <w:rFonts w:ascii="仿宋_GB2312" w:eastAsia="仿宋_GB2312" w:hint="eastAsia"/>
          <w:sz w:val="32"/>
          <w:szCs w:val="32"/>
        </w:rPr>
        <w:t>郝某彬</w:t>
      </w:r>
      <w:r w:rsidR="0030266D">
        <w:rPr>
          <w:rFonts w:ascii="仿宋_GB2312" w:eastAsia="仿宋_GB2312" w:hint="eastAsia"/>
          <w:sz w:val="32"/>
          <w:szCs w:val="32"/>
        </w:rPr>
        <w:t>（李某华表弟）</w:t>
      </w:r>
      <w:r w:rsidR="00A462EB">
        <w:rPr>
          <w:rFonts w:ascii="仿宋_GB2312" w:eastAsia="仿宋_GB2312" w:hint="eastAsia"/>
          <w:sz w:val="32"/>
          <w:szCs w:val="32"/>
        </w:rPr>
        <w:t>在赤峰市</w:t>
      </w:r>
      <w:r w:rsidR="00AD1661">
        <w:rPr>
          <w:rFonts w:ascii="仿宋_GB2312" w:eastAsia="仿宋_GB2312" w:hint="eastAsia"/>
          <w:sz w:val="32"/>
          <w:szCs w:val="32"/>
        </w:rPr>
        <w:t>以郝某彬名义</w:t>
      </w:r>
      <w:r w:rsidRPr="00D30451">
        <w:rPr>
          <w:rFonts w:ascii="仿宋_GB2312" w:eastAsia="仿宋_GB2312" w:hint="eastAsia"/>
          <w:sz w:val="32"/>
          <w:szCs w:val="32"/>
        </w:rPr>
        <w:t>开立</w:t>
      </w:r>
      <w:r w:rsidR="00AD1661">
        <w:rPr>
          <w:rFonts w:ascii="仿宋_GB2312" w:eastAsia="仿宋_GB2312" w:hint="eastAsia"/>
          <w:sz w:val="32"/>
          <w:szCs w:val="32"/>
        </w:rPr>
        <w:t>了</w:t>
      </w:r>
      <w:r w:rsidRPr="00D30451">
        <w:rPr>
          <w:rFonts w:ascii="仿宋_GB2312" w:eastAsia="仿宋_GB2312" w:hint="eastAsia"/>
          <w:sz w:val="32"/>
          <w:szCs w:val="32"/>
        </w:rPr>
        <w:t>证券账户</w:t>
      </w:r>
      <w:r w:rsidR="00EB72B7">
        <w:rPr>
          <w:rFonts w:ascii="仿宋_GB2312" w:eastAsia="仿宋_GB2312" w:hint="eastAsia"/>
          <w:sz w:val="32"/>
          <w:szCs w:val="32"/>
        </w:rPr>
        <w:t>和</w:t>
      </w:r>
      <w:r w:rsidRPr="00D30451">
        <w:rPr>
          <w:rFonts w:ascii="仿宋_GB2312" w:eastAsia="仿宋_GB2312" w:hint="eastAsia"/>
          <w:sz w:val="32"/>
          <w:szCs w:val="32"/>
        </w:rPr>
        <w:t>三方存管银行账户</w:t>
      </w:r>
      <w:r w:rsidR="001C2CF9">
        <w:rPr>
          <w:rFonts w:ascii="仿宋_GB2312" w:eastAsia="仿宋_GB2312" w:hint="eastAsia"/>
          <w:sz w:val="32"/>
          <w:szCs w:val="32"/>
        </w:rPr>
        <w:t>。</w:t>
      </w:r>
      <w:r w:rsidR="007E3334">
        <w:rPr>
          <w:rFonts w:ascii="仿宋_GB2312" w:eastAsia="仿宋_GB2312" w:hint="eastAsia"/>
          <w:sz w:val="32"/>
          <w:szCs w:val="32"/>
        </w:rPr>
        <w:t>上述</w:t>
      </w:r>
      <w:r>
        <w:rPr>
          <w:rFonts w:ascii="仿宋_GB2312" w:eastAsia="仿宋_GB2312" w:hint="eastAsia"/>
          <w:sz w:val="32"/>
          <w:szCs w:val="32"/>
        </w:rPr>
        <w:t>证券</w:t>
      </w:r>
      <w:r w:rsidRPr="00D30451">
        <w:rPr>
          <w:rFonts w:ascii="仿宋_GB2312" w:eastAsia="仿宋_GB2312" w:hint="eastAsia"/>
          <w:sz w:val="32"/>
          <w:szCs w:val="32"/>
        </w:rPr>
        <w:t>账户</w:t>
      </w:r>
      <w:r w:rsidR="00EB72B7">
        <w:rPr>
          <w:rFonts w:ascii="仿宋_GB2312" w:eastAsia="仿宋_GB2312" w:hint="eastAsia"/>
          <w:sz w:val="32"/>
          <w:szCs w:val="32"/>
        </w:rPr>
        <w:t>、银行账户</w:t>
      </w:r>
      <w:r w:rsidRPr="00D30451">
        <w:rPr>
          <w:rFonts w:ascii="仿宋_GB2312" w:eastAsia="仿宋_GB2312" w:hint="eastAsia"/>
          <w:sz w:val="32"/>
          <w:szCs w:val="32"/>
        </w:rPr>
        <w:t>由樊瀚声实际控制，证券账户</w:t>
      </w:r>
      <w:r>
        <w:rPr>
          <w:rFonts w:ascii="仿宋_GB2312" w:eastAsia="仿宋_GB2312" w:hint="eastAsia"/>
          <w:color w:val="000000"/>
          <w:sz w:val="32"/>
          <w:szCs w:val="32"/>
        </w:rPr>
        <w:t>所有资金投入、</w:t>
      </w:r>
      <w:r w:rsidRPr="00D30451">
        <w:rPr>
          <w:rFonts w:ascii="仿宋_GB2312" w:eastAsia="仿宋_GB2312" w:hint="eastAsia"/>
          <w:color w:val="000000"/>
          <w:sz w:val="32"/>
          <w:szCs w:val="32"/>
        </w:rPr>
        <w:t>收益或损失</w:t>
      </w:r>
      <w:r>
        <w:rPr>
          <w:rFonts w:ascii="仿宋_GB2312" w:eastAsia="仿宋_GB2312" w:hint="eastAsia"/>
          <w:color w:val="000000"/>
          <w:sz w:val="32"/>
          <w:szCs w:val="32"/>
        </w:rPr>
        <w:t>均由</w:t>
      </w:r>
      <w:r w:rsidRPr="00D30451">
        <w:rPr>
          <w:rFonts w:ascii="仿宋_GB2312" w:eastAsia="仿宋_GB2312" w:hint="eastAsia"/>
          <w:color w:val="000000"/>
          <w:sz w:val="32"/>
          <w:szCs w:val="32"/>
        </w:rPr>
        <w:t>樊瀚声承担。</w:t>
      </w:r>
    </w:p>
    <w:p w:rsidR="007571E0" w:rsidRDefault="007571E0" w:rsidP="007571E0">
      <w:pPr>
        <w:ind w:firstLineChars="200" w:firstLine="640"/>
        <w:rPr>
          <w:rFonts w:ascii="仿宋_GB2312" w:eastAsia="仿宋_GB2312" w:hAnsi="宋体" w:hint="eastAsia"/>
          <w:sz w:val="32"/>
          <w:szCs w:val="32"/>
        </w:rPr>
      </w:pPr>
      <w:r w:rsidRPr="00992C01">
        <w:rPr>
          <w:rFonts w:ascii="仿宋_GB2312" w:eastAsia="仿宋_GB2312" w:hint="eastAsia"/>
          <w:sz w:val="32"/>
          <w:szCs w:val="32"/>
        </w:rPr>
        <w:t>“</w:t>
      </w:r>
      <w:r w:rsidR="00D42C0C">
        <w:rPr>
          <w:rFonts w:ascii="仿宋_GB2312" w:eastAsia="仿宋_GB2312" w:hint="eastAsia"/>
          <w:sz w:val="32"/>
          <w:szCs w:val="32"/>
        </w:rPr>
        <w:t>郝某彬</w:t>
      </w:r>
      <w:r w:rsidRPr="00992C01">
        <w:rPr>
          <w:rFonts w:ascii="仿宋_GB2312" w:eastAsia="仿宋_GB2312" w:hint="eastAsia"/>
          <w:sz w:val="32"/>
          <w:szCs w:val="32"/>
        </w:rPr>
        <w:t>”证券账户</w:t>
      </w:r>
      <w:r w:rsidRPr="00CD2B9D">
        <w:rPr>
          <w:rFonts w:ascii="仿宋_GB2312" w:eastAsia="仿宋_GB2312" w:hAnsi="宋体" w:hint="eastAsia"/>
          <w:sz w:val="32"/>
          <w:szCs w:val="32"/>
        </w:rPr>
        <w:t>自开立后，于2014年10月23日、10月24日、10月27日、11月3日四个交易日累计买入“兴业矿业”311</w:t>
      </w:r>
      <w:r>
        <w:rPr>
          <w:rFonts w:ascii="仿宋_GB2312" w:eastAsia="仿宋_GB2312" w:hAnsi="宋体" w:hint="eastAsia"/>
          <w:sz w:val="32"/>
          <w:szCs w:val="32"/>
        </w:rPr>
        <w:t>,</w:t>
      </w:r>
      <w:r w:rsidRPr="00CD2B9D">
        <w:rPr>
          <w:rFonts w:ascii="仿宋_GB2312" w:eastAsia="仿宋_GB2312" w:hAnsi="宋体" w:hint="eastAsia"/>
          <w:sz w:val="32"/>
          <w:szCs w:val="32"/>
        </w:rPr>
        <w:t>900股，共计3</w:t>
      </w:r>
      <w:r>
        <w:rPr>
          <w:rFonts w:ascii="仿宋_GB2312" w:eastAsia="仿宋_GB2312" w:hAnsi="宋体" w:hint="eastAsia"/>
          <w:sz w:val="32"/>
          <w:szCs w:val="32"/>
        </w:rPr>
        <w:t>,</w:t>
      </w:r>
      <w:r w:rsidRPr="00CD2B9D">
        <w:rPr>
          <w:rFonts w:ascii="仿宋_GB2312" w:eastAsia="仿宋_GB2312" w:hAnsi="宋体" w:hint="eastAsia"/>
          <w:sz w:val="32"/>
          <w:szCs w:val="32"/>
        </w:rPr>
        <w:t>273</w:t>
      </w:r>
      <w:r>
        <w:rPr>
          <w:rFonts w:ascii="仿宋_GB2312" w:eastAsia="仿宋_GB2312" w:hAnsi="宋体" w:hint="eastAsia"/>
          <w:sz w:val="32"/>
          <w:szCs w:val="32"/>
        </w:rPr>
        <w:t>,</w:t>
      </w:r>
      <w:r w:rsidRPr="00CD2B9D">
        <w:rPr>
          <w:rFonts w:ascii="仿宋_GB2312" w:eastAsia="仿宋_GB2312" w:hAnsi="宋体" w:hint="eastAsia"/>
          <w:sz w:val="32"/>
          <w:szCs w:val="32"/>
        </w:rPr>
        <w:t>509元，至“兴业矿业”停牌前，无卖出该股记录，也无交易其他股票记录。2015年3月25日“兴业矿业”复牌，该账户于2015年3月26日将持有的“兴业矿业”全部卖出。</w:t>
      </w:r>
      <w:r>
        <w:rPr>
          <w:rFonts w:ascii="仿宋_GB2312" w:eastAsia="仿宋_GB2312" w:hAnsi="宋体" w:hint="eastAsia"/>
          <w:sz w:val="32"/>
          <w:szCs w:val="32"/>
        </w:rPr>
        <w:t>扣除交易</w:t>
      </w:r>
      <w:r w:rsidRPr="00CD2B9D">
        <w:rPr>
          <w:rFonts w:ascii="仿宋_GB2312" w:eastAsia="仿宋_GB2312" w:hAnsi="宋体" w:hint="eastAsia"/>
          <w:sz w:val="32"/>
          <w:szCs w:val="32"/>
        </w:rPr>
        <w:t>费</w:t>
      </w:r>
      <w:r>
        <w:rPr>
          <w:rFonts w:ascii="仿宋_GB2312" w:eastAsia="仿宋_GB2312" w:hAnsi="宋体" w:hint="eastAsia"/>
          <w:sz w:val="32"/>
          <w:szCs w:val="32"/>
        </w:rPr>
        <w:t>用</w:t>
      </w:r>
      <w:r w:rsidR="00A462EB">
        <w:rPr>
          <w:rFonts w:ascii="仿宋_GB2312" w:eastAsia="仿宋_GB2312" w:hAnsi="宋体" w:hint="eastAsia"/>
          <w:sz w:val="32"/>
          <w:szCs w:val="32"/>
        </w:rPr>
        <w:t>后</w:t>
      </w:r>
      <w:r w:rsidRPr="00CD2B9D">
        <w:rPr>
          <w:rFonts w:ascii="仿宋_GB2312" w:eastAsia="仿宋_GB2312" w:hAnsi="宋体" w:hint="eastAsia"/>
          <w:sz w:val="32"/>
          <w:szCs w:val="32"/>
        </w:rPr>
        <w:t>，</w:t>
      </w:r>
      <w:r>
        <w:rPr>
          <w:rFonts w:ascii="仿宋_GB2312" w:eastAsia="仿宋_GB2312" w:hint="eastAsia"/>
          <w:sz w:val="32"/>
          <w:szCs w:val="32"/>
        </w:rPr>
        <w:t>“</w:t>
      </w:r>
      <w:r w:rsidR="00D42C0C">
        <w:rPr>
          <w:rFonts w:ascii="仿宋_GB2312" w:eastAsia="仿宋_GB2312" w:hint="eastAsia"/>
          <w:sz w:val="32"/>
          <w:szCs w:val="32"/>
        </w:rPr>
        <w:t>郝某彬</w:t>
      </w:r>
      <w:r>
        <w:rPr>
          <w:rFonts w:ascii="仿宋_GB2312" w:eastAsia="仿宋_GB2312" w:hint="eastAsia"/>
          <w:sz w:val="32"/>
          <w:szCs w:val="32"/>
        </w:rPr>
        <w:t>”</w:t>
      </w:r>
      <w:r w:rsidRPr="00EE0A82">
        <w:rPr>
          <w:rFonts w:ascii="仿宋_GB2312" w:eastAsia="仿宋_GB2312" w:hint="eastAsia"/>
          <w:sz w:val="32"/>
          <w:szCs w:val="32"/>
        </w:rPr>
        <w:t>账户</w:t>
      </w:r>
      <w:r w:rsidRPr="00CD2B9D">
        <w:rPr>
          <w:rFonts w:ascii="仿宋_GB2312" w:eastAsia="仿宋_GB2312" w:hAnsi="宋体" w:hint="eastAsia"/>
          <w:sz w:val="32"/>
          <w:szCs w:val="32"/>
        </w:rPr>
        <w:t>交易“兴业矿业”</w:t>
      </w:r>
      <w:r>
        <w:rPr>
          <w:rFonts w:ascii="仿宋_GB2312" w:eastAsia="仿宋_GB2312" w:hAnsi="宋体" w:hint="eastAsia"/>
          <w:sz w:val="32"/>
          <w:szCs w:val="32"/>
        </w:rPr>
        <w:t>的</w:t>
      </w:r>
      <w:r w:rsidRPr="00CD2B9D">
        <w:rPr>
          <w:rFonts w:ascii="仿宋_GB2312" w:eastAsia="仿宋_GB2312" w:hAnsi="宋体" w:hint="eastAsia"/>
          <w:sz w:val="32"/>
          <w:szCs w:val="32"/>
        </w:rPr>
        <w:t>盈利金额为1</w:t>
      </w:r>
      <w:r>
        <w:rPr>
          <w:rFonts w:ascii="仿宋_GB2312" w:eastAsia="仿宋_GB2312" w:hAnsi="宋体" w:hint="eastAsia"/>
          <w:sz w:val="32"/>
          <w:szCs w:val="32"/>
        </w:rPr>
        <w:t>,</w:t>
      </w:r>
      <w:r w:rsidRPr="00CD2B9D">
        <w:rPr>
          <w:rFonts w:ascii="仿宋_GB2312" w:eastAsia="仿宋_GB2312" w:hAnsi="宋体" w:hint="eastAsia"/>
          <w:sz w:val="32"/>
          <w:szCs w:val="32"/>
        </w:rPr>
        <w:t>211</w:t>
      </w:r>
      <w:r>
        <w:rPr>
          <w:rFonts w:ascii="仿宋_GB2312" w:eastAsia="仿宋_GB2312" w:hAnsi="宋体" w:hint="eastAsia"/>
          <w:sz w:val="32"/>
          <w:szCs w:val="32"/>
        </w:rPr>
        <w:t>,</w:t>
      </w:r>
      <w:r w:rsidRPr="00CD2B9D">
        <w:rPr>
          <w:rFonts w:ascii="仿宋_GB2312" w:eastAsia="仿宋_GB2312" w:hAnsi="宋体" w:hint="eastAsia"/>
          <w:sz w:val="32"/>
          <w:szCs w:val="32"/>
        </w:rPr>
        <w:t>810.70元。</w:t>
      </w:r>
    </w:p>
    <w:p w:rsidR="007571E0" w:rsidRDefault="007571E0" w:rsidP="007571E0">
      <w:pPr>
        <w:ind w:firstLineChars="200" w:firstLine="640"/>
        <w:rPr>
          <w:rFonts w:ascii="仿宋_GB2312" w:eastAsia="仿宋_GB2312" w:hint="eastAsia"/>
          <w:sz w:val="32"/>
          <w:szCs w:val="32"/>
        </w:rPr>
      </w:pPr>
      <w:r w:rsidRPr="0096030A">
        <w:rPr>
          <w:rFonts w:ascii="仿宋_GB2312" w:eastAsia="仿宋_GB2312" w:hint="eastAsia"/>
          <w:sz w:val="32"/>
          <w:szCs w:val="32"/>
        </w:rPr>
        <w:t>“</w:t>
      </w:r>
      <w:r w:rsidR="00D42C0C">
        <w:rPr>
          <w:rFonts w:ascii="仿宋_GB2312" w:eastAsia="仿宋_GB2312" w:hint="eastAsia"/>
          <w:sz w:val="32"/>
          <w:szCs w:val="32"/>
        </w:rPr>
        <w:t>郝某彬</w:t>
      </w:r>
      <w:r w:rsidRPr="0096030A">
        <w:rPr>
          <w:rFonts w:ascii="仿宋_GB2312" w:eastAsia="仿宋_GB2312" w:hint="eastAsia"/>
          <w:sz w:val="32"/>
          <w:szCs w:val="32"/>
        </w:rPr>
        <w:t>”证券账户对应的三方存管同名银行账户</w:t>
      </w:r>
      <w:r w:rsidR="00A462EB">
        <w:rPr>
          <w:rFonts w:ascii="仿宋_GB2312" w:eastAsia="仿宋_GB2312" w:hint="eastAsia"/>
          <w:sz w:val="32"/>
          <w:szCs w:val="32"/>
        </w:rPr>
        <w:t>自</w:t>
      </w:r>
      <w:r w:rsidRPr="00CD2B9D">
        <w:rPr>
          <w:rFonts w:ascii="仿宋_GB2312" w:eastAsia="仿宋_GB2312" w:hAnsi="宋体" w:hint="eastAsia"/>
          <w:sz w:val="32"/>
          <w:szCs w:val="32"/>
        </w:rPr>
        <w:t>2014年10月22日开立</w:t>
      </w:r>
      <w:r w:rsidR="00A462EB">
        <w:rPr>
          <w:rFonts w:ascii="仿宋_GB2312" w:eastAsia="仿宋_GB2312" w:hAnsi="宋体" w:hint="eastAsia"/>
          <w:sz w:val="32"/>
          <w:szCs w:val="32"/>
        </w:rPr>
        <w:t>后，由</w:t>
      </w:r>
      <w:r w:rsidR="00A462EB">
        <w:rPr>
          <w:rFonts w:ascii="仿宋_GB2312" w:eastAsia="仿宋_GB2312" w:hint="eastAsia"/>
          <w:sz w:val="32"/>
          <w:szCs w:val="32"/>
        </w:rPr>
        <w:t>吉某（樊瀚声之妻、吉某业之女）、李某华</w:t>
      </w:r>
      <w:r>
        <w:rPr>
          <w:rFonts w:ascii="仿宋_GB2312" w:eastAsia="仿宋_GB2312" w:hint="eastAsia"/>
          <w:sz w:val="32"/>
          <w:szCs w:val="32"/>
        </w:rPr>
        <w:t>共计转</w:t>
      </w:r>
      <w:r w:rsidRPr="0096030A">
        <w:rPr>
          <w:rFonts w:ascii="仿宋_GB2312" w:eastAsia="仿宋_GB2312" w:hint="eastAsia"/>
          <w:sz w:val="32"/>
          <w:szCs w:val="32"/>
        </w:rPr>
        <w:t>入</w:t>
      </w:r>
      <w:r>
        <w:rPr>
          <w:rFonts w:ascii="仿宋_GB2312" w:eastAsia="仿宋_GB2312" w:hint="eastAsia"/>
          <w:sz w:val="32"/>
          <w:szCs w:val="32"/>
        </w:rPr>
        <w:t>328</w:t>
      </w:r>
      <w:r w:rsidR="00A462EB">
        <w:rPr>
          <w:rFonts w:ascii="仿宋_GB2312" w:eastAsia="仿宋_GB2312" w:hint="eastAsia"/>
          <w:sz w:val="32"/>
          <w:szCs w:val="32"/>
        </w:rPr>
        <w:t>万元。其中，</w:t>
      </w:r>
      <w:r w:rsidRPr="00CD2B9D">
        <w:rPr>
          <w:rFonts w:ascii="仿宋_GB2312" w:eastAsia="仿宋_GB2312" w:hAnsi="宋体" w:hint="eastAsia"/>
          <w:sz w:val="32"/>
          <w:szCs w:val="32"/>
        </w:rPr>
        <w:t>3</w:t>
      </w:r>
      <w:r>
        <w:rPr>
          <w:rFonts w:ascii="仿宋_GB2312" w:eastAsia="仿宋_GB2312" w:hAnsi="宋体" w:hint="eastAsia"/>
          <w:sz w:val="32"/>
          <w:szCs w:val="32"/>
        </w:rPr>
        <w:t>,</w:t>
      </w:r>
      <w:r w:rsidRPr="00CD2B9D">
        <w:rPr>
          <w:rFonts w:ascii="仿宋_GB2312" w:eastAsia="仿宋_GB2312" w:hAnsi="宋体" w:hint="eastAsia"/>
          <w:sz w:val="32"/>
          <w:szCs w:val="32"/>
        </w:rPr>
        <w:t>273</w:t>
      </w:r>
      <w:r>
        <w:rPr>
          <w:rFonts w:ascii="仿宋_GB2312" w:eastAsia="仿宋_GB2312" w:hAnsi="宋体" w:hint="eastAsia"/>
          <w:sz w:val="32"/>
          <w:szCs w:val="32"/>
        </w:rPr>
        <w:t>,</w:t>
      </w:r>
      <w:r w:rsidRPr="00CD2B9D">
        <w:rPr>
          <w:rFonts w:ascii="仿宋_GB2312" w:eastAsia="仿宋_GB2312" w:hAnsi="宋体" w:hint="eastAsia"/>
          <w:sz w:val="32"/>
          <w:szCs w:val="32"/>
        </w:rPr>
        <w:t>509元</w:t>
      </w:r>
      <w:r>
        <w:rPr>
          <w:rFonts w:ascii="仿宋_GB2312" w:eastAsia="仿宋_GB2312" w:hAnsi="宋体" w:hint="eastAsia"/>
          <w:sz w:val="32"/>
          <w:szCs w:val="32"/>
        </w:rPr>
        <w:t>被</w:t>
      </w:r>
      <w:r w:rsidR="00A462EB" w:rsidRPr="0096030A">
        <w:rPr>
          <w:rFonts w:ascii="仿宋_GB2312" w:eastAsia="仿宋_GB2312" w:hint="eastAsia"/>
          <w:sz w:val="32"/>
          <w:szCs w:val="32"/>
        </w:rPr>
        <w:t>“</w:t>
      </w:r>
      <w:r w:rsidR="00A462EB">
        <w:rPr>
          <w:rFonts w:ascii="仿宋_GB2312" w:eastAsia="仿宋_GB2312" w:hint="eastAsia"/>
          <w:sz w:val="32"/>
          <w:szCs w:val="32"/>
        </w:rPr>
        <w:t>郝某彬</w:t>
      </w:r>
      <w:r w:rsidR="00A462EB" w:rsidRPr="0096030A">
        <w:rPr>
          <w:rFonts w:ascii="仿宋_GB2312" w:eastAsia="仿宋_GB2312" w:hint="eastAsia"/>
          <w:sz w:val="32"/>
          <w:szCs w:val="32"/>
        </w:rPr>
        <w:t>”证券</w:t>
      </w:r>
      <w:r w:rsidR="00A462EB">
        <w:rPr>
          <w:rFonts w:ascii="仿宋_GB2312" w:eastAsia="仿宋_GB2312" w:hAnsi="宋体" w:hint="eastAsia"/>
          <w:sz w:val="32"/>
          <w:szCs w:val="32"/>
        </w:rPr>
        <w:t>账户</w:t>
      </w:r>
      <w:r>
        <w:rPr>
          <w:rFonts w:ascii="仿宋_GB2312" w:eastAsia="仿宋_GB2312" w:hAnsi="宋体" w:hint="eastAsia"/>
          <w:sz w:val="32"/>
          <w:szCs w:val="32"/>
        </w:rPr>
        <w:t>用于买入</w:t>
      </w:r>
      <w:r w:rsidRPr="00CD2B9D">
        <w:rPr>
          <w:rFonts w:ascii="仿宋_GB2312" w:eastAsia="仿宋_GB2312" w:hAnsi="宋体" w:hint="eastAsia"/>
          <w:sz w:val="32"/>
          <w:szCs w:val="32"/>
        </w:rPr>
        <w:t>“兴业矿业”</w:t>
      </w:r>
      <w:r>
        <w:rPr>
          <w:rFonts w:ascii="仿宋_GB2312" w:eastAsia="仿宋_GB2312" w:hAnsi="宋体" w:hint="eastAsia"/>
          <w:sz w:val="32"/>
          <w:szCs w:val="32"/>
        </w:rPr>
        <w:t>。</w:t>
      </w:r>
    </w:p>
    <w:p w:rsidR="007571E0" w:rsidRDefault="007571E0" w:rsidP="007571E0">
      <w:pPr>
        <w:ind w:firstLineChars="200" w:firstLine="640"/>
        <w:rPr>
          <w:rFonts w:ascii="仿宋_GB2312" w:eastAsia="仿宋_GB2312" w:hint="eastAsia"/>
          <w:sz w:val="32"/>
          <w:szCs w:val="32"/>
        </w:rPr>
      </w:pPr>
      <w:r w:rsidRPr="0096030A">
        <w:rPr>
          <w:rFonts w:ascii="仿宋_GB2312" w:eastAsia="仿宋_GB2312" w:hint="eastAsia"/>
          <w:sz w:val="32"/>
          <w:szCs w:val="32"/>
        </w:rPr>
        <w:t>“</w:t>
      </w:r>
      <w:r w:rsidR="00D42C0C">
        <w:rPr>
          <w:rFonts w:ascii="仿宋_GB2312" w:eastAsia="仿宋_GB2312" w:hint="eastAsia"/>
          <w:sz w:val="32"/>
          <w:szCs w:val="32"/>
        </w:rPr>
        <w:t>郝某彬</w:t>
      </w:r>
      <w:r w:rsidRPr="0096030A">
        <w:rPr>
          <w:rFonts w:ascii="仿宋_GB2312" w:eastAsia="仿宋_GB2312" w:hint="eastAsia"/>
          <w:sz w:val="32"/>
          <w:szCs w:val="32"/>
        </w:rPr>
        <w:t>”证券账</w:t>
      </w:r>
      <w:r w:rsidRPr="00FE47F9">
        <w:rPr>
          <w:rFonts w:ascii="仿宋_GB2312" w:eastAsia="仿宋_GB2312" w:hint="eastAsia"/>
          <w:sz w:val="32"/>
          <w:szCs w:val="32"/>
        </w:rPr>
        <w:t>户</w:t>
      </w:r>
      <w:r>
        <w:rPr>
          <w:rFonts w:ascii="仿宋_GB2312" w:eastAsia="仿宋_GB2312" w:hint="eastAsia"/>
          <w:sz w:val="32"/>
          <w:szCs w:val="32"/>
        </w:rPr>
        <w:t>主要由</w:t>
      </w:r>
      <w:r w:rsidR="00EB72B7">
        <w:rPr>
          <w:rFonts w:ascii="仿宋_GB2312" w:eastAsia="仿宋_GB2312" w:hint="eastAsia"/>
          <w:sz w:val="32"/>
          <w:szCs w:val="32"/>
        </w:rPr>
        <w:t>樊瀚声实际操作，陈某</w:t>
      </w:r>
      <w:r w:rsidRPr="00FE47F9">
        <w:rPr>
          <w:rFonts w:ascii="仿宋_GB2312" w:eastAsia="仿宋_GB2312" w:hint="eastAsia"/>
          <w:sz w:val="32"/>
          <w:szCs w:val="32"/>
        </w:rPr>
        <w:t>明</w:t>
      </w:r>
      <w:r w:rsidR="00A462EB">
        <w:rPr>
          <w:rFonts w:ascii="仿宋_GB2312" w:eastAsia="仿宋_GB2312" w:hint="eastAsia"/>
          <w:sz w:val="32"/>
          <w:szCs w:val="32"/>
        </w:rPr>
        <w:t>（</w:t>
      </w:r>
      <w:r w:rsidR="00A462EB" w:rsidRPr="00FE47F9">
        <w:rPr>
          <w:rFonts w:ascii="仿宋_GB2312" w:eastAsia="仿宋_GB2312" w:hint="eastAsia"/>
          <w:sz w:val="32"/>
          <w:szCs w:val="32"/>
        </w:rPr>
        <w:t>樊瀚声</w:t>
      </w:r>
      <w:r w:rsidR="00542508">
        <w:rPr>
          <w:rFonts w:ascii="仿宋_GB2312" w:eastAsia="仿宋_GB2312" w:hint="eastAsia"/>
          <w:sz w:val="32"/>
          <w:szCs w:val="32"/>
        </w:rPr>
        <w:t>之</w:t>
      </w:r>
      <w:r w:rsidR="00A462EB" w:rsidRPr="00FE47F9">
        <w:rPr>
          <w:rFonts w:ascii="仿宋_GB2312" w:eastAsia="仿宋_GB2312" w:hint="eastAsia"/>
          <w:sz w:val="32"/>
          <w:szCs w:val="32"/>
        </w:rPr>
        <w:t>母</w:t>
      </w:r>
      <w:r w:rsidR="00A462EB">
        <w:rPr>
          <w:rFonts w:ascii="仿宋_GB2312" w:eastAsia="仿宋_GB2312" w:hint="eastAsia"/>
          <w:sz w:val="32"/>
          <w:szCs w:val="32"/>
        </w:rPr>
        <w:t>）</w:t>
      </w:r>
      <w:r>
        <w:rPr>
          <w:rFonts w:ascii="仿宋_GB2312" w:eastAsia="仿宋_GB2312" w:hint="eastAsia"/>
          <w:sz w:val="32"/>
          <w:szCs w:val="32"/>
        </w:rPr>
        <w:t>操作该账户系根据樊瀚声</w:t>
      </w:r>
      <w:r w:rsidRPr="00FE47F9">
        <w:rPr>
          <w:rFonts w:ascii="仿宋_GB2312" w:eastAsia="仿宋_GB2312" w:hint="eastAsia"/>
          <w:sz w:val="32"/>
          <w:szCs w:val="32"/>
        </w:rPr>
        <w:t>指令进行。</w:t>
      </w:r>
    </w:p>
    <w:p w:rsidR="00A166D7" w:rsidRDefault="00A462EB" w:rsidP="007571E0">
      <w:pPr>
        <w:widowControl/>
        <w:wordWrap w:val="0"/>
        <w:spacing w:line="360" w:lineRule="auto"/>
        <w:ind w:firstLineChars="181" w:firstLine="579"/>
        <w:rPr>
          <w:rFonts w:ascii="仿宋_GB2312" w:eastAsia="仿宋_GB2312" w:hAnsi="宋体" w:hint="eastAsia"/>
          <w:sz w:val="32"/>
          <w:szCs w:val="32"/>
        </w:rPr>
      </w:pPr>
      <w:r>
        <w:rPr>
          <w:rFonts w:ascii="仿宋_GB2312" w:eastAsia="仿宋_GB2312" w:hint="eastAsia"/>
          <w:sz w:val="32"/>
          <w:szCs w:val="32"/>
        </w:rPr>
        <w:t>以上事实有相关证券账户资料、银行账户资料、</w:t>
      </w:r>
      <w:r w:rsidR="007571E0">
        <w:rPr>
          <w:rFonts w:ascii="仿宋_GB2312" w:eastAsia="仿宋_GB2312" w:hint="eastAsia"/>
          <w:sz w:val="32"/>
          <w:szCs w:val="32"/>
        </w:rPr>
        <w:t>上市公司公告、</w:t>
      </w:r>
      <w:r>
        <w:rPr>
          <w:rFonts w:ascii="仿宋_GB2312" w:eastAsia="仿宋_GB2312" w:hint="eastAsia"/>
          <w:sz w:val="32"/>
          <w:szCs w:val="32"/>
        </w:rPr>
        <w:t>当事人询问笔录</w:t>
      </w:r>
      <w:r w:rsidR="007571E0" w:rsidRPr="00B631F5">
        <w:rPr>
          <w:rFonts w:ascii="仿宋_GB2312" w:eastAsia="仿宋_GB2312" w:hAnsi="宋体" w:hint="eastAsia"/>
          <w:sz w:val="32"/>
          <w:szCs w:val="32"/>
        </w:rPr>
        <w:t>等证据证明</w:t>
      </w:r>
      <w:r>
        <w:rPr>
          <w:rFonts w:ascii="仿宋_GB2312" w:eastAsia="仿宋_GB2312" w:hAnsi="宋体" w:hint="eastAsia"/>
          <w:sz w:val="32"/>
          <w:szCs w:val="32"/>
        </w:rPr>
        <w:t>，足以认定</w:t>
      </w:r>
      <w:r w:rsidR="007571E0" w:rsidRPr="00B631F5">
        <w:rPr>
          <w:rFonts w:ascii="仿宋_GB2312" w:eastAsia="仿宋_GB2312" w:hAnsi="宋体" w:hint="eastAsia"/>
          <w:sz w:val="32"/>
          <w:szCs w:val="32"/>
        </w:rPr>
        <w:t>。</w:t>
      </w:r>
    </w:p>
    <w:p w:rsidR="007571E0" w:rsidRPr="00B928B8" w:rsidRDefault="00C47784" w:rsidP="007571E0">
      <w:pPr>
        <w:spacing w:line="360" w:lineRule="auto"/>
        <w:ind w:firstLineChars="200" w:firstLine="640"/>
        <w:rPr>
          <w:rFonts w:ascii="仿宋_GB2312" w:eastAsia="仿宋_GB2312" w:hint="eastAsia"/>
          <w:sz w:val="32"/>
          <w:szCs w:val="32"/>
        </w:rPr>
      </w:pPr>
      <w:r w:rsidRPr="00D47C32">
        <w:rPr>
          <w:rFonts w:ascii="仿宋_GB2312" w:eastAsia="仿宋_GB2312" w:hint="eastAsia"/>
          <w:sz w:val="32"/>
          <w:szCs w:val="32"/>
        </w:rPr>
        <w:t>兴业股份拟收购银漫矿业100%股权事项</w:t>
      </w:r>
      <w:r>
        <w:rPr>
          <w:rFonts w:ascii="仿宋_GB2312" w:eastAsia="仿宋_GB2312" w:hint="eastAsia"/>
          <w:sz w:val="32"/>
          <w:szCs w:val="32"/>
        </w:rPr>
        <w:t>的信息</w:t>
      </w:r>
      <w:r w:rsidRPr="00D47C32">
        <w:rPr>
          <w:rFonts w:ascii="仿宋_GB2312" w:eastAsia="仿宋_GB2312" w:hint="eastAsia"/>
          <w:sz w:val="32"/>
          <w:szCs w:val="32"/>
        </w:rPr>
        <w:t>，</w:t>
      </w:r>
      <w:r>
        <w:rPr>
          <w:rFonts w:ascii="仿宋_GB2312" w:eastAsia="仿宋_GB2312" w:hint="eastAsia"/>
          <w:sz w:val="32"/>
          <w:szCs w:val="32"/>
        </w:rPr>
        <w:t>在公开</w:t>
      </w:r>
      <w:r>
        <w:rPr>
          <w:rFonts w:ascii="仿宋_GB2312" w:eastAsia="仿宋_GB2312" w:hint="eastAsia"/>
          <w:sz w:val="32"/>
          <w:szCs w:val="32"/>
        </w:rPr>
        <w:lastRenderedPageBreak/>
        <w:t>前属于</w:t>
      </w:r>
      <w:r w:rsidRPr="00D47C32">
        <w:rPr>
          <w:rFonts w:ascii="仿宋_GB2312" w:eastAsia="仿宋_GB2312" w:hint="eastAsia"/>
          <w:sz w:val="32"/>
          <w:szCs w:val="32"/>
        </w:rPr>
        <w:t>《</w:t>
      </w:r>
      <w:r>
        <w:rPr>
          <w:rFonts w:ascii="仿宋_GB2312" w:eastAsia="仿宋_GB2312" w:hint="eastAsia"/>
          <w:sz w:val="32"/>
          <w:szCs w:val="32"/>
        </w:rPr>
        <w:t>证券法</w:t>
      </w:r>
      <w:r w:rsidRPr="00D47C32">
        <w:rPr>
          <w:rFonts w:ascii="仿宋_GB2312" w:eastAsia="仿宋_GB2312" w:hint="eastAsia"/>
          <w:sz w:val="32"/>
          <w:szCs w:val="32"/>
        </w:rPr>
        <w:t>》第七十五条</w:t>
      </w:r>
      <w:r>
        <w:rPr>
          <w:rFonts w:ascii="仿宋_GB2312" w:eastAsia="仿宋_GB2312" w:hint="eastAsia"/>
          <w:sz w:val="32"/>
          <w:szCs w:val="32"/>
        </w:rPr>
        <w:t>规定的</w:t>
      </w:r>
      <w:r w:rsidRPr="00D47C32">
        <w:rPr>
          <w:rFonts w:ascii="仿宋_GB2312" w:eastAsia="仿宋_GB2312" w:hint="eastAsia"/>
          <w:sz w:val="32"/>
          <w:szCs w:val="32"/>
        </w:rPr>
        <w:t>内幕信息。</w:t>
      </w:r>
      <w:r w:rsidR="007571E0" w:rsidRPr="00533A33">
        <w:rPr>
          <w:rFonts w:ascii="仿宋_GB2312" w:eastAsia="仿宋_GB2312" w:hint="eastAsia"/>
          <w:kern w:val="0"/>
          <w:sz w:val="32"/>
          <w:szCs w:val="32"/>
        </w:rPr>
        <w:t>樊瀚声</w:t>
      </w:r>
      <w:r>
        <w:rPr>
          <w:rFonts w:ascii="仿宋_GB2312" w:eastAsia="仿宋_GB2312" w:hint="eastAsia"/>
          <w:kern w:val="0"/>
          <w:sz w:val="32"/>
          <w:szCs w:val="32"/>
        </w:rPr>
        <w:t>知悉上述信息并在该信息公开前交易</w:t>
      </w:r>
      <w:r w:rsidR="007571E0">
        <w:rPr>
          <w:rFonts w:ascii="仿宋_GB2312" w:eastAsia="仿宋_GB2312" w:hint="eastAsia"/>
          <w:kern w:val="0"/>
          <w:sz w:val="32"/>
          <w:szCs w:val="32"/>
        </w:rPr>
        <w:t>“兴业矿业”的</w:t>
      </w:r>
      <w:r w:rsidR="007571E0" w:rsidRPr="009508C9">
        <w:rPr>
          <w:rFonts w:ascii="仿宋_GB2312" w:eastAsia="仿宋_GB2312" w:hint="eastAsia"/>
          <w:sz w:val="32"/>
          <w:szCs w:val="32"/>
        </w:rPr>
        <w:t>行为</w:t>
      </w:r>
      <w:r>
        <w:rPr>
          <w:rFonts w:ascii="仿宋_GB2312" w:eastAsia="仿宋_GB2312" w:hint="eastAsia"/>
          <w:sz w:val="32"/>
          <w:szCs w:val="32"/>
        </w:rPr>
        <w:t>，</w:t>
      </w:r>
      <w:r w:rsidR="007571E0" w:rsidRPr="009508C9">
        <w:rPr>
          <w:rFonts w:ascii="仿宋_GB2312" w:eastAsia="仿宋_GB2312" w:hint="eastAsia"/>
          <w:sz w:val="32"/>
          <w:szCs w:val="32"/>
        </w:rPr>
        <w:t>违反了《</w:t>
      </w:r>
      <w:r w:rsidR="007571E0">
        <w:rPr>
          <w:rFonts w:ascii="仿宋_GB2312" w:eastAsia="仿宋_GB2312" w:hint="eastAsia"/>
          <w:sz w:val="32"/>
          <w:szCs w:val="32"/>
        </w:rPr>
        <w:t>证券法</w:t>
      </w:r>
      <w:r w:rsidR="007571E0" w:rsidRPr="009508C9">
        <w:rPr>
          <w:rFonts w:ascii="仿宋_GB2312" w:eastAsia="仿宋_GB2312" w:hint="eastAsia"/>
          <w:sz w:val="32"/>
          <w:szCs w:val="32"/>
        </w:rPr>
        <w:t>》第七十三条、第七十六条的规定，构成《</w:t>
      </w:r>
      <w:r w:rsidR="007571E0">
        <w:rPr>
          <w:rFonts w:ascii="仿宋_GB2312" w:eastAsia="仿宋_GB2312" w:hint="eastAsia"/>
          <w:sz w:val="32"/>
          <w:szCs w:val="32"/>
        </w:rPr>
        <w:t>证券法</w:t>
      </w:r>
      <w:r w:rsidR="007571E0" w:rsidRPr="009508C9">
        <w:rPr>
          <w:rFonts w:ascii="仿宋_GB2312" w:eastAsia="仿宋_GB2312" w:hint="eastAsia"/>
          <w:sz w:val="32"/>
          <w:szCs w:val="32"/>
        </w:rPr>
        <w:t>》第二百零二条所述</w:t>
      </w:r>
      <w:r>
        <w:rPr>
          <w:rFonts w:ascii="仿宋_GB2312" w:eastAsia="仿宋_GB2312" w:hint="eastAsia"/>
          <w:sz w:val="32"/>
          <w:szCs w:val="32"/>
        </w:rPr>
        <w:t>内幕交易</w:t>
      </w:r>
      <w:r w:rsidR="007571E0" w:rsidRPr="009508C9">
        <w:rPr>
          <w:rFonts w:ascii="仿宋_GB2312" w:eastAsia="仿宋_GB2312" w:hint="eastAsia"/>
          <w:sz w:val="32"/>
          <w:szCs w:val="32"/>
        </w:rPr>
        <w:t>行为。</w:t>
      </w:r>
    </w:p>
    <w:p w:rsidR="007571E0" w:rsidRPr="003D6970" w:rsidRDefault="007571E0" w:rsidP="007571E0">
      <w:pPr>
        <w:ind w:firstLine="560"/>
        <w:rPr>
          <w:rFonts w:ascii="仿宋_GB2312" w:eastAsia="仿宋_GB2312" w:hAnsi="仿宋_GB2312" w:hint="eastAsia"/>
          <w:sz w:val="32"/>
          <w:szCs w:val="32"/>
        </w:rPr>
      </w:pPr>
      <w:r w:rsidRPr="00DE0202">
        <w:rPr>
          <w:rFonts w:ascii="仿宋_GB2312" w:eastAsia="仿宋_GB2312" w:hAnsi="宋体" w:cs="宋体" w:hint="eastAsia"/>
          <w:kern w:val="0"/>
          <w:sz w:val="32"/>
          <w:szCs w:val="32"/>
        </w:rPr>
        <w:t>根据当事人违法行为的事实、性</w:t>
      </w:r>
      <w:r>
        <w:rPr>
          <w:rFonts w:ascii="仿宋_GB2312" w:eastAsia="仿宋_GB2312" w:hAnsi="宋体" w:cs="宋体" w:hint="eastAsia"/>
          <w:kern w:val="0"/>
          <w:sz w:val="32"/>
          <w:szCs w:val="32"/>
        </w:rPr>
        <w:t>质、情节与社会危害程度，依照《证券法》第</w:t>
      </w:r>
      <w:r w:rsidRPr="009508C9">
        <w:rPr>
          <w:rFonts w:ascii="仿宋_GB2312" w:eastAsia="仿宋_GB2312" w:hint="eastAsia"/>
          <w:sz w:val="32"/>
          <w:szCs w:val="32"/>
        </w:rPr>
        <w:t>二百零二</w:t>
      </w:r>
      <w:r w:rsidR="001831F1">
        <w:rPr>
          <w:rFonts w:ascii="仿宋_GB2312" w:eastAsia="仿宋_GB2312" w:hAnsi="宋体" w:cs="宋体" w:hint="eastAsia"/>
          <w:kern w:val="0"/>
          <w:sz w:val="32"/>
          <w:szCs w:val="32"/>
        </w:rPr>
        <w:t>条的规定，我局</w:t>
      </w:r>
      <w:r w:rsidRPr="00DE0202">
        <w:rPr>
          <w:rFonts w:ascii="仿宋_GB2312" w:eastAsia="仿宋_GB2312" w:hAnsi="宋体" w:cs="宋体" w:hint="eastAsia"/>
          <w:kern w:val="0"/>
          <w:sz w:val="32"/>
          <w:szCs w:val="32"/>
        </w:rPr>
        <w:t>决定：</w:t>
      </w:r>
      <w:r w:rsidRPr="00D65158">
        <w:rPr>
          <w:rFonts w:ascii="仿宋_GB2312" w:eastAsia="仿宋_GB2312" w:hint="eastAsia"/>
          <w:sz w:val="32"/>
          <w:szCs w:val="32"/>
        </w:rPr>
        <w:t>没收</w:t>
      </w:r>
      <w:r>
        <w:rPr>
          <w:rFonts w:ascii="仿宋_GB2312" w:eastAsia="仿宋_GB2312" w:hint="eastAsia"/>
          <w:sz w:val="32"/>
          <w:szCs w:val="32"/>
        </w:rPr>
        <w:t>樊瀚声</w:t>
      </w:r>
      <w:r w:rsidRPr="00D65158">
        <w:rPr>
          <w:rFonts w:ascii="仿宋_GB2312" w:eastAsia="仿宋_GB2312" w:hint="eastAsia"/>
          <w:sz w:val="32"/>
          <w:szCs w:val="32"/>
        </w:rPr>
        <w:t>违法所得1,211,810.70元，并处以1,211,810.70</w:t>
      </w:r>
      <w:r>
        <w:rPr>
          <w:rFonts w:ascii="仿宋_GB2312" w:eastAsia="仿宋_GB2312" w:hint="eastAsia"/>
          <w:sz w:val="32"/>
          <w:szCs w:val="32"/>
        </w:rPr>
        <w:t>元</w:t>
      </w:r>
      <w:r w:rsidRPr="00D65158">
        <w:rPr>
          <w:rFonts w:ascii="仿宋_GB2312" w:eastAsia="仿宋_GB2312" w:hint="eastAsia"/>
          <w:sz w:val="32"/>
          <w:szCs w:val="32"/>
        </w:rPr>
        <w:t>罚款。</w:t>
      </w:r>
    </w:p>
    <w:p w:rsidR="006853F1" w:rsidRDefault="006853F1" w:rsidP="00D53A39">
      <w:pPr>
        <w:widowControl/>
        <w:wordWrap w:val="0"/>
        <w:spacing w:line="360" w:lineRule="auto"/>
        <w:ind w:firstLineChars="200" w:firstLine="640"/>
        <w:rPr>
          <w:rFonts w:ascii="仿宋_GB2312" w:eastAsia="仿宋_GB2312" w:hAnsi="宋体" w:cs="宋体" w:hint="eastAsia"/>
          <w:kern w:val="0"/>
          <w:sz w:val="32"/>
          <w:szCs w:val="32"/>
        </w:rPr>
      </w:pPr>
      <w:r w:rsidRPr="00D53A39">
        <w:rPr>
          <w:rFonts w:ascii="仿宋_GB2312" w:eastAsia="仿宋_GB2312" w:hAnsi="宋体" w:cs="宋体" w:hint="eastAsia"/>
          <w:kern w:val="0"/>
          <w:sz w:val="32"/>
          <w:szCs w:val="32"/>
        </w:rPr>
        <w:t>上述当事人应自收到本处罚决定书之日起</w:t>
      </w:r>
      <w:r w:rsidRPr="00D53A39">
        <w:rPr>
          <w:rFonts w:ascii="仿宋_GB2312" w:eastAsia="仿宋_GB2312" w:hint="eastAsia"/>
          <w:kern w:val="0"/>
          <w:sz w:val="32"/>
          <w:szCs w:val="32"/>
        </w:rPr>
        <w:t>15</w:t>
      </w:r>
      <w:r w:rsidRPr="00D53A39">
        <w:rPr>
          <w:rFonts w:ascii="仿宋_GB2312" w:eastAsia="仿宋_GB2312" w:hAnsi="宋体" w:cs="宋体" w:hint="eastAsia"/>
          <w:kern w:val="0"/>
          <w:sz w:val="32"/>
          <w:szCs w:val="32"/>
        </w:rPr>
        <w:t>日内，将罚</w:t>
      </w:r>
      <w:r w:rsidR="00D22E13">
        <w:rPr>
          <w:rFonts w:ascii="仿宋_GB2312" w:eastAsia="仿宋_GB2312" w:hAnsi="宋体" w:cs="宋体" w:hint="eastAsia"/>
          <w:kern w:val="0"/>
          <w:sz w:val="32"/>
          <w:szCs w:val="32"/>
        </w:rPr>
        <w:t>没</w:t>
      </w:r>
      <w:r w:rsidRPr="00D53A39">
        <w:rPr>
          <w:rFonts w:ascii="仿宋_GB2312" w:eastAsia="仿宋_GB2312" w:hAnsi="宋体" w:cs="宋体" w:hint="eastAsia"/>
          <w:kern w:val="0"/>
          <w:sz w:val="32"/>
          <w:szCs w:val="32"/>
        </w:rPr>
        <w:t>款汇交中国证券监督管理委员会（开户银行：中信银行总行营业部，账号：</w:t>
      </w:r>
      <w:r w:rsidRPr="00D53A39">
        <w:rPr>
          <w:rFonts w:ascii="仿宋_GB2312" w:eastAsia="仿宋_GB2312" w:hint="eastAsia"/>
          <w:kern w:val="0"/>
          <w:sz w:val="32"/>
          <w:szCs w:val="32"/>
        </w:rPr>
        <w:t>7111010189800000162</w:t>
      </w:r>
      <w:r w:rsidRPr="00D53A39">
        <w:rPr>
          <w:rFonts w:ascii="仿宋_GB2312" w:eastAsia="仿宋_GB2312" w:hAnsi="宋体" w:cs="宋体" w:hint="eastAsia"/>
          <w:kern w:val="0"/>
          <w:sz w:val="32"/>
          <w:szCs w:val="32"/>
        </w:rPr>
        <w:t>，由该行直接上缴国库），并将注有当事人名称的付款凭证复印件送中国证券监督管理委员会稽查局</w:t>
      </w:r>
      <w:r w:rsidR="00AA2647" w:rsidRPr="00D53A39">
        <w:rPr>
          <w:rFonts w:ascii="仿宋_GB2312" w:eastAsia="仿宋_GB2312" w:hAnsi="宋体" w:cs="宋体" w:hint="eastAsia"/>
          <w:kern w:val="0"/>
          <w:sz w:val="32"/>
          <w:szCs w:val="32"/>
        </w:rPr>
        <w:t>及我局</w:t>
      </w:r>
      <w:r w:rsidRPr="00D53A39">
        <w:rPr>
          <w:rFonts w:ascii="仿宋_GB2312" w:eastAsia="仿宋_GB2312" w:hAnsi="宋体" w:cs="宋体" w:hint="eastAsia"/>
          <w:kern w:val="0"/>
          <w:sz w:val="32"/>
          <w:szCs w:val="32"/>
        </w:rPr>
        <w:t>备案。当事人如对本处罚决定不服，可在收到本处罚决定书之日起</w:t>
      </w:r>
      <w:r w:rsidRPr="00D53A39">
        <w:rPr>
          <w:rFonts w:ascii="仿宋_GB2312" w:eastAsia="仿宋_GB2312" w:hint="eastAsia"/>
          <w:kern w:val="0"/>
          <w:sz w:val="32"/>
          <w:szCs w:val="32"/>
        </w:rPr>
        <w:t>60</w:t>
      </w:r>
      <w:r w:rsidRPr="00D53A39">
        <w:rPr>
          <w:rFonts w:ascii="仿宋_GB2312" w:eastAsia="仿宋_GB2312" w:hAnsi="宋体" w:cs="宋体" w:hint="eastAsia"/>
          <w:kern w:val="0"/>
          <w:sz w:val="32"/>
          <w:szCs w:val="32"/>
        </w:rPr>
        <w:t>日内向中国证券监督管理委员会申请行政复议，也可在收到本处罚决定书之日起</w:t>
      </w:r>
      <w:r w:rsidR="00D22E13">
        <w:rPr>
          <w:rFonts w:ascii="仿宋_GB2312" w:eastAsia="仿宋_GB2312" w:hint="eastAsia"/>
          <w:kern w:val="0"/>
          <w:sz w:val="32"/>
          <w:szCs w:val="32"/>
        </w:rPr>
        <w:t>6</w:t>
      </w:r>
      <w:r w:rsidRPr="00D53A39">
        <w:rPr>
          <w:rFonts w:ascii="仿宋_GB2312" w:eastAsia="仿宋_GB2312" w:hAnsi="宋体" w:cs="宋体" w:hint="eastAsia"/>
          <w:kern w:val="0"/>
          <w:sz w:val="32"/>
          <w:szCs w:val="32"/>
        </w:rPr>
        <w:t>个月内直接向有管辖权的人民法院提起行政诉讼。复议和诉讼期间，上述决定不停止执行。</w:t>
      </w:r>
    </w:p>
    <w:p w:rsidR="00AA2647" w:rsidRDefault="00AA2647" w:rsidP="00AA2647">
      <w:pPr>
        <w:widowControl/>
        <w:wordWrap w:val="0"/>
        <w:spacing w:line="360" w:lineRule="auto"/>
        <w:ind w:firstLineChars="200" w:firstLine="640"/>
        <w:rPr>
          <w:rFonts w:ascii="仿宋_GB2312" w:eastAsia="仿宋_GB2312" w:hAnsi="宋体" w:cs="宋体" w:hint="eastAsia"/>
          <w:kern w:val="0"/>
          <w:sz w:val="32"/>
          <w:szCs w:val="32"/>
        </w:rPr>
      </w:pPr>
    </w:p>
    <w:p w:rsidR="00AA2647" w:rsidRDefault="00AA2647" w:rsidP="00AA2647">
      <w:pPr>
        <w:widowControl/>
        <w:wordWrap w:val="0"/>
        <w:spacing w:line="360" w:lineRule="auto"/>
        <w:ind w:firstLineChars="200" w:firstLine="640"/>
        <w:rPr>
          <w:rFonts w:ascii="仿宋_GB2312" w:eastAsia="仿宋_GB2312" w:hAnsi="宋体" w:cs="宋体" w:hint="eastAsia"/>
          <w:kern w:val="0"/>
          <w:sz w:val="32"/>
          <w:szCs w:val="32"/>
        </w:rPr>
      </w:pPr>
      <w:r>
        <w:rPr>
          <w:rFonts w:ascii="仿宋_GB2312" w:eastAsia="仿宋_GB2312" w:hAnsi="宋体" w:cs="宋体" w:hint="eastAsia"/>
          <w:kern w:val="0"/>
          <w:sz w:val="32"/>
          <w:szCs w:val="32"/>
        </w:rPr>
        <w:t xml:space="preserve">                               天津证监局</w:t>
      </w:r>
    </w:p>
    <w:p w:rsidR="00DE4581" w:rsidRDefault="00AA2647" w:rsidP="00EB72B7">
      <w:pPr>
        <w:widowControl/>
        <w:wordWrap w:val="0"/>
        <w:spacing w:line="360" w:lineRule="auto"/>
        <w:ind w:firstLineChars="200" w:firstLine="640"/>
      </w:pPr>
      <w:r>
        <w:rPr>
          <w:rFonts w:ascii="仿宋_GB2312" w:eastAsia="仿宋_GB2312" w:hAnsi="宋体" w:cs="宋体" w:hint="eastAsia"/>
          <w:kern w:val="0"/>
          <w:sz w:val="32"/>
          <w:szCs w:val="32"/>
        </w:rPr>
        <w:t xml:space="preserve">                            201</w:t>
      </w:r>
      <w:r w:rsidR="00DF2F86">
        <w:rPr>
          <w:rFonts w:ascii="仿宋_GB2312" w:eastAsia="仿宋_GB2312" w:hAnsi="宋体" w:cs="宋体" w:hint="eastAsia"/>
          <w:kern w:val="0"/>
          <w:sz w:val="32"/>
          <w:szCs w:val="32"/>
        </w:rPr>
        <w:t>5</w:t>
      </w:r>
      <w:r>
        <w:rPr>
          <w:rFonts w:ascii="仿宋_GB2312" w:eastAsia="仿宋_GB2312" w:hAnsi="宋体" w:cs="宋体" w:hint="eastAsia"/>
          <w:kern w:val="0"/>
          <w:sz w:val="32"/>
          <w:szCs w:val="32"/>
        </w:rPr>
        <w:t>年</w:t>
      </w:r>
      <w:r w:rsidR="00D22E13">
        <w:rPr>
          <w:rFonts w:ascii="仿宋_GB2312" w:eastAsia="仿宋_GB2312" w:hAnsi="宋体" w:cs="宋体" w:hint="eastAsia"/>
          <w:kern w:val="0"/>
          <w:sz w:val="32"/>
          <w:szCs w:val="32"/>
        </w:rPr>
        <w:t>10</w:t>
      </w:r>
      <w:r>
        <w:rPr>
          <w:rFonts w:ascii="仿宋_GB2312" w:eastAsia="仿宋_GB2312" w:hAnsi="宋体" w:cs="宋体" w:hint="eastAsia"/>
          <w:kern w:val="0"/>
          <w:sz w:val="32"/>
          <w:szCs w:val="32"/>
        </w:rPr>
        <w:t>月</w:t>
      </w:r>
      <w:r w:rsidR="00D22E13">
        <w:rPr>
          <w:rFonts w:ascii="仿宋_GB2312" w:eastAsia="仿宋_GB2312" w:hAnsi="宋体" w:cs="宋体" w:hint="eastAsia"/>
          <w:kern w:val="0"/>
          <w:sz w:val="32"/>
          <w:szCs w:val="32"/>
        </w:rPr>
        <w:t>8</w:t>
      </w:r>
      <w:r>
        <w:rPr>
          <w:rFonts w:ascii="仿宋_GB2312" w:eastAsia="仿宋_GB2312" w:hAnsi="宋体" w:cs="宋体" w:hint="eastAsia"/>
          <w:kern w:val="0"/>
          <w:sz w:val="32"/>
          <w:szCs w:val="32"/>
        </w:rPr>
        <w:t>日</w:t>
      </w:r>
    </w:p>
    <w:sectPr w:rsidR="00DE4581">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790F" w:rsidRDefault="006C790F">
      <w:r>
        <w:separator/>
      </w:r>
    </w:p>
  </w:endnote>
  <w:endnote w:type="continuationSeparator" w:id="0">
    <w:p w:rsidR="006C790F" w:rsidRDefault="006C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B0604020202020204"/>
    <w:charset w:val="86"/>
    <w:family w:val="modern"/>
    <w:pitch w:val="fixed"/>
    <w:sig w:usb0="00000001" w:usb1="08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3334" w:rsidRDefault="007E3334" w:rsidP="00D83DC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7E3334" w:rsidRDefault="007E33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E3334" w:rsidRDefault="007E3334" w:rsidP="00D83DC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42508">
      <w:rPr>
        <w:rStyle w:val="a6"/>
        <w:noProof/>
      </w:rPr>
      <w:t>3</w:t>
    </w:r>
    <w:r>
      <w:rPr>
        <w:rStyle w:val="a6"/>
      </w:rPr>
      <w:fldChar w:fldCharType="end"/>
    </w:r>
  </w:p>
  <w:p w:rsidR="007E3334" w:rsidRDefault="007E33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790F" w:rsidRDefault="006C790F">
      <w:r>
        <w:separator/>
      </w:r>
    </w:p>
  </w:footnote>
  <w:footnote w:type="continuationSeparator" w:id="0">
    <w:p w:rsidR="006C790F" w:rsidRDefault="006C79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F1"/>
    <w:rsid w:val="00001A22"/>
    <w:rsid w:val="00027808"/>
    <w:rsid w:val="000323B7"/>
    <w:rsid w:val="00034440"/>
    <w:rsid w:val="000439F2"/>
    <w:rsid w:val="00053B90"/>
    <w:rsid w:val="000744A1"/>
    <w:rsid w:val="000A238E"/>
    <w:rsid w:val="000C3488"/>
    <w:rsid w:val="000F574C"/>
    <w:rsid w:val="00142E42"/>
    <w:rsid w:val="00163165"/>
    <w:rsid w:val="001831F1"/>
    <w:rsid w:val="001C2CF9"/>
    <w:rsid w:val="001F1195"/>
    <w:rsid w:val="001F2229"/>
    <w:rsid w:val="001F632F"/>
    <w:rsid w:val="00202372"/>
    <w:rsid w:val="00205570"/>
    <w:rsid w:val="00210237"/>
    <w:rsid w:val="00237E77"/>
    <w:rsid w:val="00255970"/>
    <w:rsid w:val="00275AB9"/>
    <w:rsid w:val="0029085B"/>
    <w:rsid w:val="0029562A"/>
    <w:rsid w:val="002F1B44"/>
    <w:rsid w:val="003007B0"/>
    <w:rsid w:val="0030266D"/>
    <w:rsid w:val="003335F5"/>
    <w:rsid w:val="00337A01"/>
    <w:rsid w:val="003778FC"/>
    <w:rsid w:val="003852BD"/>
    <w:rsid w:val="003D1E77"/>
    <w:rsid w:val="003D693D"/>
    <w:rsid w:val="0040337E"/>
    <w:rsid w:val="0042044A"/>
    <w:rsid w:val="00423023"/>
    <w:rsid w:val="00431B9B"/>
    <w:rsid w:val="004730AF"/>
    <w:rsid w:val="004735FD"/>
    <w:rsid w:val="00484358"/>
    <w:rsid w:val="00490027"/>
    <w:rsid w:val="004A1A94"/>
    <w:rsid w:val="004A224F"/>
    <w:rsid w:val="004D2640"/>
    <w:rsid w:val="004E45F2"/>
    <w:rsid w:val="00506109"/>
    <w:rsid w:val="00542508"/>
    <w:rsid w:val="00543CD7"/>
    <w:rsid w:val="00555E16"/>
    <w:rsid w:val="00557119"/>
    <w:rsid w:val="00557503"/>
    <w:rsid w:val="00564FAF"/>
    <w:rsid w:val="00575C1D"/>
    <w:rsid w:val="005813C5"/>
    <w:rsid w:val="005863CB"/>
    <w:rsid w:val="005C4AED"/>
    <w:rsid w:val="005D00C7"/>
    <w:rsid w:val="005E7A00"/>
    <w:rsid w:val="005F16B3"/>
    <w:rsid w:val="005F4344"/>
    <w:rsid w:val="0061447B"/>
    <w:rsid w:val="00621208"/>
    <w:rsid w:val="00621D6B"/>
    <w:rsid w:val="00634C4A"/>
    <w:rsid w:val="00663454"/>
    <w:rsid w:val="006853F1"/>
    <w:rsid w:val="006A4A9A"/>
    <w:rsid w:val="006C0C2B"/>
    <w:rsid w:val="006C790F"/>
    <w:rsid w:val="006E60CB"/>
    <w:rsid w:val="006F486D"/>
    <w:rsid w:val="007309CF"/>
    <w:rsid w:val="00741011"/>
    <w:rsid w:val="007571E0"/>
    <w:rsid w:val="007658FB"/>
    <w:rsid w:val="00775867"/>
    <w:rsid w:val="007A0D89"/>
    <w:rsid w:val="007A0ECE"/>
    <w:rsid w:val="007A1034"/>
    <w:rsid w:val="007B4F7E"/>
    <w:rsid w:val="007C1921"/>
    <w:rsid w:val="007E3334"/>
    <w:rsid w:val="00820E8D"/>
    <w:rsid w:val="00827EE9"/>
    <w:rsid w:val="00854902"/>
    <w:rsid w:val="00892CCC"/>
    <w:rsid w:val="008F73E9"/>
    <w:rsid w:val="009A19DE"/>
    <w:rsid w:val="009A7AF8"/>
    <w:rsid w:val="009B417B"/>
    <w:rsid w:val="009B589C"/>
    <w:rsid w:val="00A00C61"/>
    <w:rsid w:val="00A04A9E"/>
    <w:rsid w:val="00A166D7"/>
    <w:rsid w:val="00A20B76"/>
    <w:rsid w:val="00A34940"/>
    <w:rsid w:val="00A462EB"/>
    <w:rsid w:val="00A70390"/>
    <w:rsid w:val="00A80045"/>
    <w:rsid w:val="00AA2647"/>
    <w:rsid w:val="00AD1661"/>
    <w:rsid w:val="00B003E9"/>
    <w:rsid w:val="00B32621"/>
    <w:rsid w:val="00B71FE0"/>
    <w:rsid w:val="00BC718B"/>
    <w:rsid w:val="00C042F3"/>
    <w:rsid w:val="00C47784"/>
    <w:rsid w:val="00C57927"/>
    <w:rsid w:val="00C66D3F"/>
    <w:rsid w:val="00C813CC"/>
    <w:rsid w:val="00CA009B"/>
    <w:rsid w:val="00CA6922"/>
    <w:rsid w:val="00CC3E75"/>
    <w:rsid w:val="00CD230F"/>
    <w:rsid w:val="00CD2B33"/>
    <w:rsid w:val="00CE3F01"/>
    <w:rsid w:val="00CF4D6F"/>
    <w:rsid w:val="00CF6509"/>
    <w:rsid w:val="00D031BD"/>
    <w:rsid w:val="00D22E13"/>
    <w:rsid w:val="00D42C0C"/>
    <w:rsid w:val="00D47028"/>
    <w:rsid w:val="00D53A39"/>
    <w:rsid w:val="00D61927"/>
    <w:rsid w:val="00D654B7"/>
    <w:rsid w:val="00D83DCE"/>
    <w:rsid w:val="00D90A06"/>
    <w:rsid w:val="00D9308D"/>
    <w:rsid w:val="00DA6AB0"/>
    <w:rsid w:val="00DC5765"/>
    <w:rsid w:val="00DE4581"/>
    <w:rsid w:val="00DF2F86"/>
    <w:rsid w:val="00DF3847"/>
    <w:rsid w:val="00E03EBA"/>
    <w:rsid w:val="00E3703A"/>
    <w:rsid w:val="00E37951"/>
    <w:rsid w:val="00E649CA"/>
    <w:rsid w:val="00E736D1"/>
    <w:rsid w:val="00E868EF"/>
    <w:rsid w:val="00E936C6"/>
    <w:rsid w:val="00E93DA6"/>
    <w:rsid w:val="00EA6A73"/>
    <w:rsid w:val="00EB72B7"/>
    <w:rsid w:val="00F26EDB"/>
    <w:rsid w:val="00F37BC3"/>
    <w:rsid w:val="00F462E8"/>
    <w:rsid w:val="00F50058"/>
    <w:rsid w:val="00F548D2"/>
    <w:rsid w:val="00F57251"/>
    <w:rsid w:val="00FC0A3F"/>
    <w:rsid w:val="00FC4192"/>
    <w:rsid w:val="00FE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CC5836-774E-4641-A2FF-E88956DA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6853F1"/>
    <w:pPr>
      <w:widowControl/>
      <w:spacing w:before="100" w:beforeAutospacing="1" w:after="100" w:afterAutospacing="1"/>
      <w:jc w:val="left"/>
    </w:pPr>
    <w:rPr>
      <w:rFonts w:ascii="宋体" w:hAnsi="宋体" w:cs="宋体"/>
      <w:kern w:val="0"/>
      <w:sz w:val="24"/>
    </w:rPr>
  </w:style>
  <w:style w:type="character" w:styleId="a4">
    <w:name w:val="Strong"/>
    <w:qFormat/>
    <w:rsid w:val="006853F1"/>
    <w:rPr>
      <w:b/>
      <w:bCs/>
    </w:rPr>
  </w:style>
  <w:style w:type="paragraph" w:styleId="a5">
    <w:name w:val="footer"/>
    <w:basedOn w:val="a"/>
    <w:rsid w:val="000C3488"/>
    <w:pPr>
      <w:tabs>
        <w:tab w:val="center" w:pos="4153"/>
        <w:tab w:val="right" w:pos="8306"/>
      </w:tabs>
      <w:snapToGrid w:val="0"/>
      <w:jc w:val="left"/>
    </w:pPr>
    <w:rPr>
      <w:sz w:val="18"/>
      <w:szCs w:val="18"/>
    </w:rPr>
  </w:style>
  <w:style w:type="character" w:styleId="a6">
    <w:name w:val="page number"/>
    <w:basedOn w:val="a0"/>
    <w:rsid w:val="000C3488"/>
  </w:style>
  <w:style w:type="paragraph" w:customStyle="1" w:styleId="Char">
    <w:name w:val=" Char"/>
    <w:basedOn w:val="a"/>
    <w:link w:val="a0"/>
    <w:rsid w:val="000F574C"/>
    <w:rPr>
      <w:szCs w:val="20"/>
    </w:rPr>
  </w:style>
  <w:style w:type="paragraph" w:customStyle="1" w:styleId="CharCharCharCharCharCharChar">
    <w:name w:val="Char Char Char Char Char Char Char"/>
    <w:basedOn w:val="a"/>
    <w:rsid w:val="00FE6ED1"/>
    <w:pPr>
      <w:tabs>
        <w:tab w:val="left" w:pos="360"/>
      </w:tabs>
    </w:pPr>
    <w:rPr>
      <w:szCs w:val="20"/>
    </w:rPr>
  </w:style>
  <w:style w:type="paragraph" w:styleId="a7">
    <w:name w:val="footnote text"/>
    <w:basedOn w:val="a"/>
    <w:semiHidden/>
    <w:rsid w:val="00AA2647"/>
    <w:pPr>
      <w:snapToGrid w:val="0"/>
      <w:jc w:val="left"/>
    </w:pPr>
    <w:rPr>
      <w:sz w:val="18"/>
      <w:szCs w:val="18"/>
    </w:rPr>
  </w:style>
  <w:style w:type="character" w:styleId="a8">
    <w:name w:val="footnote reference"/>
    <w:semiHidden/>
    <w:rsid w:val="00AA2647"/>
    <w:rPr>
      <w:vertAlign w:val="superscript"/>
    </w:rPr>
  </w:style>
  <w:style w:type="paragraph" w:customStyle="1" w:styleId="CharCharCharCharCharCharCharCharCharCharCharCharCharCharCharChar">
    <w:name w:val="Char Char Char Char Char Char Char Char Char Char Char Char Char Char Char Char"/>
    <w:basedOn w:val="a"/>
    <w:rsid w:val="00BC718B"/>
    <w:pPr>
      <w:tabs>
        <w:tab w:val="left" w:pos="360"/>
      </w:tabs>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55313">
      <w:bodyDiv w:val="1"/>
      <w:marLeft w:val="0"/>
      <w:marRight w:val="0"/>
      <w:marTop w:val="0"/>
      <w:marBottom w:val="0"/>
      <w:divBdr>
        <w:top w:val="none" w:sz="0" w:space="0" w:color="auto"/>
        <w:left w:val="none" w:sz="0" w:space="0" w:color="auto"/>
        <w:bottom w:val="none" w:sz="0" w:space="0" w:color="auto"/>
        <w:right w:val="none" w:sz="0" w:space="0" w:color="auto"/>
      </w:divBdr>
      <w:divsChild>
        <w:div w:id="513308231">
          <w:marLeft w:val="0"/>
          <w:marRight w:val="0"/>
          <w:marTop w:val="0"/>
          <w:marBottom w:val="0"/>
          <w:divBdr>
            <w:top w:val="none" w:sz="0" w:space="0" w:color="auto"/>
            <w:left w:val="none" w:sz="0" w:space="0" w:color="auto"/>
            <w:bottom w:val="none" w:sz="0" w:space="0" w:color="auto"/>
            <w:right w:val="none" w:sz="0" w:space="0" w:color="auto"/>
          </w:divBdr>
          <w:divsChild>
            <w:div w:id="2127656202">
              <w:marLeft w:val="0"/>
              <w:marRight w:val="0"/>
              <w:marTop w:val="0"/>
              <w:marBottom w:val="0"/>
              <w:divBdr>
                <w:top w:val="none" w:sz="0" w:space="0" w:color="auto"/>
                <w:left w:val="none" w:sz="0" w:space="0" w:color="auto"/>
                <w:bottom w:val="none" w:sz="0" w:space="0" w:color="auto"/>
                <w:right w:val="none" w:sz="0" w:space="0" w:color="auto"/>
              </w:divBdr>
              <w:divsChild>
                <w:div w:id="880172672">
                  <w:marLeft w:val="0"/>
                  <w:marRight w:val="0"/>
                  <w:marTop w:val="0"/>
                  <w:marBottom w:val="0"/>
                  <w:divBdr>
                    <w:top w:val="none" w:sz="0" w:space="0" w:color="auto"/>
                    <w:left w:val="none" w:sz="0" w:space="0" w:color="auto"/>
                    <w:bottom w:val="none" w:sz="0" w:space="0" w:color="auto"/>
                    <w:right w:val="none" w:sz="0" w:space="0" w:color="auto"/>
                  </w:divBdr>
                  <w:divsChild>
                    <w:div w:id="791247128">
                      <w:marLeft w:val="0"/>
                      <w:marRight w:val="0"/>
                      <w:marTop w:val="0"/>
                      <w:marBottom w:val="0"/>
                      <w:divBdr>
                        <w:top w:val="none" w:sz="0" w:space="0" w:color="auto"/>
                        <w:left w:val="none" w:sz="0" w:space="0" w:color="auto"/>
                        <w:bottom w:val="none" w:sz="0" w:space="0" w:color="auto"/>
                        <w:right w:val="none" w:sz="0" w:space="0" w:color="auto"/>
                      </w:divBdr>
                      <w:divsChild>
                        <w:div w:id="1293436304">
                          <w:marLeft w:val="0"/>
                          <w:marRight w:val="0"/>
                          <w:marTop w:val="0"/>
                          <w:marBottom w:val="0"/>
                          <w:divBdr>
                            <w:top w:val="none" w:sz="0" w:space="0" w:color="auto"/>
                            <w:left w:val="none" w:sz="0" w:space="0" w:color="auto"/>
                            <w:bottom w:val="none" w:sz="0" w:space="0" w:color="auto"/>
                            <w:right w:val="none" w:sz="0" w:space="0" w:color="auto"/>
                          </w:divBdr>
                        </w:div>
                      </w:divsChild>
                    </w:div>
                    <w:div w:id="20358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305</Words>
  <Characters>1745</Characters>
  <Application>Microsoft Office Word</Application>
  <DocSecurity>0</DocSecurity>
  <Lines>14</Lines>
  <Paragraphs>4</Paragraphs>
  <ScaleCrop>false</ScaleCrop>
  <Company>Lenovo (Beijing) Limited</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邵新春</dc:creator>
  <cp:keywords/>
  <cp:lastModifiedBy>俞文瀚</cp:lastModifiedBy>
  <cp:revision>2</cp:revision>
  <cp:lastPrinted>2014-10-27T08:07:00Z</cp:lastPrinted>
  <dcterms:created xsi:type="dcterms:W3CDTF">2024-11-05T01:53:00Z</dcterms:created>
  <dcterms:modified xsi:type="dcterms:W3CDTF">2024-11-05T01:53:00Z</dcterms:modified>
</cp:coreProperties>
</file>