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FF23A" w14:textId="77777777" w:rsidR="00C40012" w:rsidRDefault="00C40012" w:rsidP="00C40012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Style w:val="s1"/>
          <w:rFonts w:hint="eastAsia"/>
          <w:color w:val="000000"/>
          <w:sz w:val="36"/>
          <w:szCs w:val="36"/>
        </w:rPr>
        <w:t>北京市人民检察院第二分院</w:t>
      </w:r>
    </w:p>
    <w:p w14:paraId="4F5C9CB2" w14:textId="77777777" w:rsidR="00C40012" w:rsidRDefault="00C40012" w:rsidP="00C40012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2"/>
          <w:rFonts w:hint="eastAsia"/>
          <w:b/>
          <w:bCs/>
          <w:color w:val="000000"/>
          <w:sz w:val="44"/>
          <w:szCs w:val="44"/>
        </w:rPr>
        <w:t>不起诉决定书</w:t>
      </w:r>
    </w:p>
    <w:p w14:paraId="2EF43BA5" w14:textId="77777777" w:rsidR="00C40012" w:rsidRDefault="00C40012" w:rsidP="00C40012">
      <w:pPr>
        <w:pStyle w:val="p3"/>
        <w:shd w:val="clear" w:color="auto" w:fill="FFFFFF"/>
        <w:spacing w:before="0" w:beforeAutospacing="0" w:after="0" w:afterAutospacing="0" w:line="560" w:lineRule="atLeast"/>
        <w:ind w:firstLine="332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Style w:val="s1"/>
          <w:rFonts w:ascii="华文楷体" w:eastAsia="华文楷体" w:hAnsi="华文楷体" w:hint="eastAsia"/>
          <w:color w:val="000000"/>
          <w:sz w:val="28"/>
          <w:szCs w:val="28"/>
        </w:rPr>
        <w:t>京二分检刑不诉〔2019〕6号</w:t>
      </w:r>
    </w:p>
    <w:p w14:paraId="6AA100C1" w14:textId="77777777" w:rsidR="00C40012" w:rsidRDefault="00C40012" w:rsidP="00C40012">
      <w:pPr>
        <w:pStyle w:val="p4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被不起诉人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荣某某，女，1963年**月**日出生，居民身份证号码4103051963********0646，河南省人，汉族，硕士研究生文化程度，**公司战略投资人，户籍所在地北京市海淀区**园**号楼**单元**号，住北京市</w:t>
      </w:r>
      <w:proofErr w:type="gramStart"/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大兴区</w:t>
      </w:r>
      <w:proofErr w:type="gramEnd"/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**室，因涉嫌内幕交易、泄露内幕信息罪，于2018年10月30日被北京市公安局取保候审，经本院决定，于2019年4月26日被取保候审。</w:t>
      </w:r>
    </w:p>
    <w:p w14:paraId="3DA6E7D2" w14:textId="77777777" w:rsidR="00C40012" w:rsidRDefault="00C40012" w:rsidP="00C40012">
      <w:pPr>
        <w:pStyle w:val="p5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辩护人肖琦，北京景淳亦驰律师事务所律师。</w:t>
      </w:r>
    </w:p>
    <w:p w14:paraId="471838DB" w14:textId="77777777" w:rsidR="00C40012" w:rsidRDefault="00C40012" w:rsidP="00C40012">
      <w:pPr>
        <w:pStyle w:val="p6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本案由北京市公安局侦查终结，以被不起诉人荣某某涉嫌内幕交易、泄露内幕信息罪，于2019年4月24日向本院移送审查起诉。</w:t>
      </w:r>
      <w:r>
        <w:rPr>
          <w:rStyle w:val="s3"/>
          <w:rFonts w:ascii="华文仿宋" w:eastAsia="华文仿宋" w:hAnsi="华文仿宋" w:hint="eastAsia"/>
          <w:color w:val="000000"/>
          <w:sz w:val="32"/>
          <w:szCs w:val="32"/>
        </w:rPr>
        <w:t>本院于2019年5月25日延长审查起诉期限。</w:t>
      </w:r>
    </w:p>
    <w:p w14:paraId="074A1409" w14:textId="77777777" w:rsidR="00C40012" w:rsidRDefault="00C40012" w:rsidP="00C40012">
      <w:pPr>
        <w:pStyle w:val="p7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经本院依法审查查明：</w:t>
      </w:r>
    </w:p>
    <w:p w14:paraId="3FEF5504" w14:textId="77777777" w:rsidR="00C40012" w:rsidRDefault="00C40012" w:rsidP="00C40012">
      <w:pPr>
        <w:pStyle w:val="p8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2016年10月，深圳**股份有限公司拟收购**公司股权进行重组，被不起诉人荣某某作为**公司的实际控股股东参与了重组谈判。谈判过程中，荣某某将上述信息告知了**公司时任**、法定代表人高某某。被不起诉人高某某伙同罗某某在内幕信息敏感期内，利用“刘**”“张**”两个证券账户合计买入“**股份”股票737882股，成交金额共计人民币6313388元，截止2018年5月实际亏损130余万元。 </w:t>
      </w:r>
    </w:p>
    <w:p w14:paraId="5B9D59B0" w14:textId="77777777" w:rsidR="00C40012" w:rsidRDefault="00C40012" w:rsidP="00C40012">
      <w:pPr>
        <w:pStyle w:val="p4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lastRenderedPageBreak/>
        <w:t>本院认为，荣某某作为**公司实际控股股东，其将参与**公司重组谈判信息告知的该公司时任**兼法定代表人高某某的行为，未违反相关保密和注意义务，不构成泄露内幕信息罪。同时，在案证据不能证实荣某某具有内幕交易行为。依照《中华人民共和国刑事诉讼法》第一百七十七条第一款的规定，决定对某某</w:t>
      </w:r>
      <w:proofErr w:type="gramStart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某</w:t>
      </w:r>
      <w:proofErr w:type="gramEnd"/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不起诉。</w:t>
      </w:r>
    </w:p>
    <w:p w14:paraId="3E86899B" w14:textId="77777777" w:rsidR="00C40012" w:rsidRDefault="00C40012" w:rsidP="00C40012">
      <w:pPr>
        <w:pStyle w:val="p4"/>
        <w:shd w:val="clear" w:color="auto" w:fill="FFFFFF"/>
        <w:spacing w:before="0" w:beforeAutospacing="0" w:after="0" w:afterAutospacing="0" w:line="560" w:lineRule="atLeast"/>
        <w:ind w:firstLine="63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被不起诉人如不服本决定，可以自收到本决定书后七日内向本院申诉。</w:t>
      </w:r>
    </w:p>
    <w:p w14:paraId="4A59E2E3" w14:textId="77777777" w:rsidR="00C40012" w:rsidRDefault="00C40012" w:rsidP="00C40012">
      <w:pPr>
        <w:pStyle w:val="p11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北京市人民检察院第二分院</w:t>
      </w:r>
    </w:p>
    <w:p w14:paraId="756207A9" w14:textId="77777777" w:rsidR="00C40012" w:rsidRDefault="00C40012" w:rsidP="00C40012">
      <w:pPr>
        <w:pStyle w:val="p11"/>
        <w:shd w:val="clear" w:color="auto" w:fill="FFFFFF"/>
        <w:spacing w:before="0" w:beforeAutospacing="0" w:after="0" w:afterAutospacing="0" w:line="560" w:lineRule="atLeast"/>
        <w:jc w:val="right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1"/>
          <w:rFonts w:ascii="华文仿宋" w:eastAsia="华文仿宋" w:hAnsi="华文仿宋" w:hint="eastAsia"/>
          <w:color w:val="000000"/>
          <w:sz w:val="32"/>
          <w:szCs w:val="32"/>
        </w:rPr>
        <w:t>2019年6月5日</w:t>
      </w:r>
    </w:p>
    <w:p w14:paraId="5CE641F3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012"/>
    <w:rsid w:val="00BD0D2B"/>
    <w:rsid w:val="00C4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A1DC"/>
  <w15:chartTrackingRefBased/>
  <w15:docId w15:val="{DBB907D1-80BE-4A2F-9A2E-B92BBFE20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C40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C40012"/>
  </w:style>
  <w:style w:type="paragraph" w:customStyle="1" w:styleId="p2">
    <w:name w:val="p2"/>
    <w:basedOn w:val="a"/>
    <w:rsid w:val="00C40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C40012"/>
  </w:style>
  <w:style w:type="paragraph" w:customStyle="1" w:styleId="p3">
    <w:name w:val="p3"/>
    <w:basedOn w:val="a"/>
    <w:rsid w:val="00C40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4">
    <w:name w:val="p4"/>
    <w:basedOn w:val="a"/>
    <w:rsid w:val="00C40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C40012"/>
  </w:style>
  <w:style w:type="paragraph" w:customStyle="1" w:styleId="p5">
    <w:name w:val="p5"/>
    <w:basedOn w:val="a"/>
    <w:rsid w:val="00C40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6">
    <w:name w:val="p6"/>
    <w:basedOn w:val="a"/>
    <w:rsid w:val="00C40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7">
    <w:name w:val="p7"/>
    <w:basedOn w:val="a"/>
    <w:rsid w:val="00C40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C40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1">
    <w:name w:val="p11"/>
    <w:basedOn w:val="a"/>
    <w:rsid w:val="00C400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2021-09-25T08:17:00Z</dcterms:created>
  <dcterms:modified xsi:type="dcterms:W3CDTF">2021-09-25T08:17:00Z</dcterms:modified>
</cp:coreProperties>
</file>