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933B" w14:textId="77777777" w:rsidR="00E9090F" w:rsidRPr="00E9090F" w:rsidRDefault="00E9090F" w:rsidP="00E9090F">
      <w:pPr>
        <w:widowControl/>
        <w:shd w:val="clear" w:color="auto" w:fill="FFFFFF"/>
        <w:spacing w:line="525" w:lineRule="atLeast"/>
        <w:jc w:val="center"/>
        <w:rPr>
          <w:rFonts w:ascii="微软雅黑" w:eastAsia="微软雅黑" w:hAnsi="微软雅黑" w:cs="宋体"/>
          <w:b/>
          <w:bCs/>
          <w:color w:val="0C5CB1"/>
          <w:kern w:val="0"/>
          <w:sz w:val="30"/>
          <w:szCs w:val="30"/>
        </w:rPr>
      </w:pPr>
      <w:r w:rsidRPr="00E9090F">
        <w:rPr>
          <w:rFonts w:ascii="微软雅黑" w:eastAsia="微软雅黑" w:hAnsi="微软雅黑" w:cs="宋体" w:hint="eastAsia"/>
          <w:b/>
          <w:bCs/>
          <w:color w:val="0C5CB1"/>
          <w:kern w:val="0"/>
          <w:sz w:val="30"/>
          <w:szCs w:val="30"/>
        </w:rPr>
        <w:t>中国证券监督管理委员会宁波监管局行政处罚决定书（楼建峰）</w:t>
      </w:r>
    </w:p>
    <w:p w14:paraId="4749F4AE" w14:textId="77777777" w:rsidR="00E9090F" w:rsidRPr="00E9090F" w:rsidRDefault="00E9090F" w:rsidP="00E9090F">
      <w:pPr>
        <w:widowControl/>
        <w:shd w:val="clear" w:color="auto" w:fill="FFFFFF"/>
        <w:jc w:val="center"/>
        <w:rPr>
          <w:rFonts w:ascii="宋体" w:eastAsia="宋体" w:hAnsi="宋体" w:cs="宋体" w:hint="eastAsia"/>
          <w:color w:val="888888"/>
          <w:kern w:val="0"/>
          <w:sz w:val="18"/>
          <w:szCs w:val="18"/>
        </w:rPr>
      </w:pPr>
      <w:r w:rsidRPr="00E9090F">
        <w:rPr>
          <w:rFonts w:ascii="宋体" w:eastAsia="宋体" w:hAnsi="宋体" w:cs="宋体" w:hint="eastAsia"/>
          <w:color w:val="888888"/>
          <w:kern w:val="0"/>
          <w:sz w:val="18"/>
          <w:szCs w:val="18"/>
        </w:rPr>
        <w:t>时间：2015-12-17 来源：</w:t>
      </w:r>
    </w:p>
    <w:p w14:paraId="7B3CA487" w14:textId="77777777" w:rsidR="00E9090F" w:rsidRPr="00E9090F" w:rsidRDefault="00E9090F" w:rsidP="00E9090F">
      <w:pPr>
        <w:widowControl/>
        <w:shd w:val="clear" w:color="auto" w:fill="FFFFFF"/>
        <w:spacing w:before="156" w:after="156" w:line="315" w:lineRule="atLeast"/>
        <w:jc w:val="center"/>
        <w:rPr>
          <w:rFonts w:ascii="宋体" w:eastAsia="宋体" w:hAnsi="宋体" w:cs="宋体" w:hint="eastAsia"/>
          <w:color w:val="333333"/>
          <w:kern w:val="0"/>
          <w:szCs w:val="21"/>
        </w:rPr>
      </w:pPr>
      <w:r w:rsidRPr="00E9090F">
        <w:rPr>
          <w:rFonts w:ascii="宋体" w:eastAsia="宋体" w:hAnsi="宋体" w:cs="宋体" w:hint="eastAsia"/>
          <w:color w:val="333333"/>
          <w:kern w:val="0"/>
          <w:szCs w:val="21"/>
        </w:rPr>
        <w:t>〔2015〕2号</w:t>
      </w:r>
    </w:p>
    <w:p w14:paraId="6080CFC5" w14:textId="77777777" w:rsidR="00E9090F" w:rsidRPr="00E9090F" w:rsidRDefault="00E9090F" w:rsidP="00E9090F">
      <w:pPr>
        <w:widowControl/>
        <w:shd w:val="clear" w:color="auto" w:fill="FFFFFF"/>
        <w:spacing w:before="156" w:after="156" w:line="315" w:lineRule="atLeast"/>
        <w:jc w:val="left"/>
        <w:rPr>
          <w:rFonts w:ascii="宋体" w:eastAsia="宋体" w:hAnsi="宋体" w:cs="宋体" w:hint="eastAsia"/>
          <w:color w:val="333333"/>
          <w:kern w:val="0"/>
          <w:szCs w:val="21"/>
        </w:rPr>
      </w:pPr>
      <w:r w:rsidRPr="00E9090F">
        <w:rPr>
          <w:rFonts w:ascii="宋体" w:eastAsia="宋体" w:hAnsi="宋体" w:cs="宋体" w:hint="eastAsia"/>
          <w:color w:val="333333"/>
          <w:kern w:val="0"/>
          <w:szCs w:val="21"/>
        </w:rPr>
        <w:t xml:space="preserve">　</w:t>
      </w:r>
    </w:p>
    <w:p w14:paraId="48AF94CE"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当事人：楼建峰，男，1970年10月出生，住址：浙江省杭州市萧山区。</w:t>
      </w:r>
    </w:p>
    <w:p w14:paraId="12EC6D51"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依据《中华人民共和国证券法》（以下简称《证券法》）的有关规定，我局依法对楼建峰内幕交易“云海金属”行为进行了立案调查、审理，并向当事人告知了</w:t>
      </w:r>
      <w:proofErr w:type="gramStart"/>
      <w:r w:rsidRPr="00E9090F">
        <w:rPr>
          <w:rFonts w:ascii="宋体" w:eastAsia="宋体" w:hAnsi="宋体" w:cs="宋体" w:hint="eastAsia"/>
          <w:color w:val="000000"/>
          <w:kern w:val="0"/>
          <w:szCs w:val="21"/>
        </w:rPr>
        <w:t>作出</w:t>
      </w:r>
      <w:proofErr w:type="gramEnd"/>
      <w:r w:rsidRPr="00E9090F">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14:paraId="132A8509"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经查明，楼建</w:t>
      </w:r>
      <w:proofErr w:type="gramStart"/>
      <w:r w:rsidRPr="00E9090F">
        <w:rPr>
          <w:rFonts w:ascii="宋体" w:eastAsia="宋体" w:hAnsi="宋体" w:cs="宋体" w:hint="eastAsia"/>
          <w:color w:val="000000"/>
          <w:kern w:val="0"/>
          <w:szCs w:val="21"/>
        </w:rPr>
        <w:t>峰存在</w:t>
      </w:r>
      <w:proofErr w:type="gramEnd"/>
      <w:r w:rsidRPr="00E9090F">
        <w:rPr>
          <w:rFonts w:ascii="宋体" w:eastAsia="宋体" w:hAnsi="宋体" w:cs="宋体" w:hint="eastAsia"/>
          <w:color w:val="000000"/>
          <w:kern w:val="0"/>
          <w:szCs w:val="21"/>
        </w:rPr>
        <w:t>以下违法事实：</w:t>
      </w:r>
    </w:p>
    <w:p w14:paraId="613E5E1E"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一、内幕信息的形成、传递与公开过程</w:t>
      </w:r>
    </w:p>
    <w:p w14:paraId="30AD996A"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2014年9月30日，南京云海特种金属股份有限公司（以下简称云海金属或公司）董事长梅某明、董事会秘书吴某飞、副总经理刘某稻商议筹划公司非公开发行股票事项。同年10月9日，吴某飞委托杭州联</w:t>
      </w:r>
      <w:proofErr w:type="gramStart"/>
      <w:r w:rsidRPr="00E9090F">
        <w:rPr>
          <w:rFonts w:ascii="宋体" w:eastAsia="宋体" w:hAnsi="宋体" w:cs="宋体" w:hint="eastAsia"/>
          <w:color w:val="000000"/>
          <w:kern w:val="0"/>
          <w:szCs w:val="21"/>
        </w:rPr>
        <w:t>创投资</w:t>
      </w:r>
      <w:proofErr w:type="gramEnd"/>
      <w:r w:rsidRPr="00E9090F">
        <w:rPr>
          <w:rFonts w:ascii="宋体" w:eastAsia="宋体" w:hAnsi="宋体" w:cs="宋体" w:hint="eastAsia"/>
          <w:color w:val="000000"/>
          <w:kern w:val="0"/>
          <w:szCs w:val="21"/>
        </w:rPr>
        <w:t>管理有限公司（以下简称杭州联创）刘某达协助寻找有意认购公司非公开发行股票的意向投资者。同年10月中旬，经与华泰联合证券有限责任公司投资银行部董事总经理平某春商议，公司决定采取向特定对象非公开发行股票的方案。同年11月4日，梅某明、吴某飞、刘某稻商议公司非公开发行股票的规模和募集资金用途。同年11月11日，在基本确定有意向投资者参与认购公司非公开发行股票后，公司披露《重大事项停牌公告》，公司股票停牌。同年11月20日，发行对象与公司签署非公开发行股票认购协议。同年11月24日，公司披露《非公开发行股票预案》，公司股票复牌。</w:t>
      </w:r>
    </w:p>
    <w:p w14:paraId="0EE33C4C"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二、楼建峰知悉内幕信息情况</w:t>
      </w:r>
    </w:p>
    <w:p w14:paraId="3E8CD958"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2014年10月9日，杭州</w:t>
      </w:r>
      <w:proofErr w:type="gramStart"/>
      <w:r w:rsidRPr="00E9090F">
        <w:rPr>
          <w:rFonts w:ascii="宋体" w:eastAsia="宋体" w:hAnsi="宋体" w:cs="宋体" w:hint="eastAsia"/>
          <w:color w:val="000000"/>
          <w:kern w:val="0"/>
          <w:szCs w:val="21"/>
        </w:rPr>
        <w:t>联创贾某</w:t>
      </w:r>
      <w:proofErr w:type="gramEnd"/>
      <w:r w:rsidRPr="00E9090F">
        <w:rPr>
          <w:rFonts w:ascii="宋体" w:eastAsia="宋体" w:hAnsi="宋体" w:cs="宋体" w:hint="eastAsia"/>
          <w:color w:val="000000"/>
          <w:kern w:val="0"/>
          <w:szCs w:val="21"/>
        </w:rPr>
        <w:t>生与楼建峰电话商议认购云海金属非公开发行股票事项，楼建峰表示愿意认购。10月12日，楼建峰与刘某</w:t>
      </w:r>
      <w:proofErr w:type="gramStart"/>
      <w:r w:rsidRPr="00E9090F">
        <w:rPr>
          <w:rFonts w:ascii="宋体" w:eastAsia="宋体" w:hAnsi="宋体" w:cs="宋体" w:hint="eastAsia"/>
          <w:color w:val="000000"/>
          <w:kern w:val="0"/>
          <w:szCs w:val="21"/>
        </w:rPr>
        <w:t>达电话</w:t>
      </w:r>
      <w:proofErr w:type="gramEnd"/>
      <w:r w:rsidRPr="00E9090F">
        <w:rPr>
          <w:rFonts w:ascii="宋体" w:eastAsia="宋体" w:hAnsi="宋体" w:cs="宋体" w:hint="eastAsia"/>
          <w:color w:val="000000"/>
          <w:kern w:val="0"/>
          <w:szCs w:val="21"/>
        </w:rPr>
        <w:t>商议认购云海金属非公开发行股票事项。同年10月12日至24日，楼建峰与贾某生、刘某</w:t>
      </w:r>
      <w:proofErr w:type="gramStart"/>
      <w:r w:rsidRPr="00E9090F">
        <w:rPr>
          <w:rFonts w:ascii="宋体" w:eastAsia="宋体" w:hAnsi="宋体" w:cs="宋体" w:hint="eastAsia"/>
          <w:color w:val="000000"/>
          <w:kern w:val="0"/>
          <w:szCs w:val="21"/>
        </w:rPr>
        <w:t>达分别</w:t>
      </w:r>
      <w:proofErr w:type="gramEnd"/>
      <w:r w:rsidRPr="00E9090F">
        <w:rPr>
          <w:rFonts w:ascii="宋体" w:eastAsia="宋体" w:hAnsi="宋体" w:cs="宋体" w:hint="eastAsia"/>
          <w:color w:val="000000"/>
          <w:kern w:val="0"/>
          <w:szCs w:val="21"/>
        </w:rPr>
        <w:t>有7次、2次通话。同年10月24日，楼建峰与刘某达同赴云海金属与吴某飞商议</w:t>
      </w:r>
      <w:proofErr w:type="gramStart"/>
      <w:r w:rsidRPr="00E9090F">
        <w:rPr>
          <w:rFonts w:ascii="宋体" w:eastAsia="宋体" w:hAnsi="宋体" w:cs="宋体" w:hint="eastAsia"/>
          <w:color w:val="000000"/>
          <w:kern w:val="0"/>
          <w:szCs w:val="21"/>
        </w:rPr>
        <w:t>认购非</w:t>
      </w:r>
      <w:proofErr w:type="gramEnd"/>
      <w:r w:rsidRPr="00E9090F">
        <w:rPr>
          <w:rFonts w:ascii="宋体" w:eastAsia="宋体" w:hAnsi="宋体" w:cs="宋体" w:hint="eastAsia"/>
          <w:color w:val="000000"/>
          <w:kern w:val="0"/>
          <w:szCs w:val="21"/>
        </w:rPr>
        <w:t>公开发行股票事项，楼建峰表示愿意认购1亿元，并就该事项与云海金属签署《保密协议书》。同年10月27日，楼建峰通过刘某达再次表示愿意认购1亿元。同年11月20日，楼建峰与云海金属签署非公开发行股票认购协议，实际认购金额为1亿元。</w:t>
      </w:r>
    </w:p>
    <w:p w14:paraId="3C7AE57A"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三、楼建峰控制相关账户内幕交易情况</w:t>
      </w:r>
    </w:p>
    <w:p w14:paraId="51C2515C"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楼建峰在内幕信息公开</w:t>
      </w:r>
      <w:proofErr w:type="gramStart"/>
      <w:r w:rsidRPr="00E9090F">
        <w:rPr>
          <w:rFonts w:ascii="宋体" w:eastAsia="宋体" w:hAnsi="宋体" w:cs="宋体" w:hint="eastAsia"/>
          <w:color w:val="000000"/>
          <w:kern w:val="0"/>
          <w:szCs w:val="21"/>
        </w:rPr>
        <w:t>前实际</w:t>
      </w:r>
      <w:proofErr w:type="gramEnd"/>
      <w:r w:rsidRPr="00E9090F">
        <w:rPr>
          <w:rFonts w:ascii="宋体" w:eastAsia="宋体" w:hAnsi="宋体" w:cs="宋体" w:hint="eastAsia"/>
          <w:color w:val="000000"/>
          <w:kern w:val="0"/>
          <w:szCs w:val="21"/>
        </w:rPr>
        <w:t>控制和使用华财6号账户、吴某英账户累计净买入“云海金属”3,384,529股，成交金额4,149.72万元，并于内幕信息公开后全部卖出，共计亏损165.96万元。具体情况如下：</w:t>
      </w:r>
    </w:p>
    <w:p w14:paraId="26B820AC"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1. 华财6号账户：2014年11月4日至10日，累计净买入“云海金属”2,794,529股，成交金额合计3,400.24万元。此前，华财6号账户未曾交易过“云海金属”。2014</w:t>
      </w:r>
      <w:r w:rsidRPr="00E9090F">
        <w:rPr>
          <w:rFonts w:ascii="宋体" w:eastAsia="宋体" w:hAnsi="宋体" w:cs="宋体" w:hint="eastAsia"/>
          <w:color w:val="000000"/>
          <w:kern w:val="0"/>
          <w:szCs w:val="21"/>
        </w:rPr>
        <w:lastRenderedPageBreak/>
        <w:t>年11月24日公司股票复牌后，华财6号账户卖出停牌前持有的全部“云海金属”，共计亏损113.17万元。</w:t>
      </w:r>
    </w:p>
    <w:p w14:paraId="00CA2FB2"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2. 吴</w:t>
      </w:r>
      <w:proofErr w:type="gramStart"/>
      <w:r w:rsidRPr="00E9090F">
        <w:rPr>
          <w:rFonts w:ascii="宋体" w:eastAsia="宋体" w:hAnsi="宋体" w:cs="宋体" w:hint="eastAsia"/>
          <w:color w:val="000000"/>
          <w:kern w:val="0"/>
          <w:szCs w:val="21"/>
        </w:rPr>
        <w:t>某英账户</w:t>
      </w:r>
      <w:proofErr w:type="gramEnd"/>
      <w:r w:rsidRPr="00E9090F">
        <w:rPr>
          <w:rFonts w:ascii="宋体" w:eastAsia="宋体" w:hAnsi="宋体" w:cs="宋体" w:hint="eastAsia"/>
          <w:color w:val="000000"/>
          <w:kern w:val="0"/>
          <w:szCs w:val="21"/>
        </w:rPr>
        <w:t>：2014年10月21日至11月7日，累计净买入“云海金属”590,000股，成交金额共计749.48万元。此前，吴</w:t>
      </w:r>
      <w:proofErr w:type="gramStart"/>
      <w:r w:rsidRPr="00E9090F">
        <w:rPr>
          <w:rFonts w:ascii="宋体" w:eastAsia="宋体" w:hAnsi="宋体" w:cs="宋体" w:hint="eastAsia"/>
          <w:color w:val="000000"/>
          <w:kern w:val="0"/>
          <w:szCs w:val="21"/>
        </w:rPr>
        <w:t>某英账户</w:t>
      </w:r>
      <w:proofErr w:type="gramEnd"/>
      <w:r w:rsidRPr="00E9090F">
        <w:rPr>
          <w:rFonts w:ascii="宋体" w:eastAsia="宋体" w:hAnsi="宋体" w:cs="宋体" w:hint="eastAsia"/>
          <w:color w:val="000000"/>
          <w:kern w:val="0"/>
          <w:szCs w:val="21"/>
        </w:rPr>
        <w:t>未曾交易过“云海金属”。2015年2月，卖出停牌前持有的全部“云海金属”，共计亏损52.79万元。</w:t>
      </w:r>
    </w:p>
    <w:p w14:paraId="67945E88" w14:textId="77777777" w:rsidR="00E9090F" w:rsidRPr="00E9090F" w:rsidRDefault="00E9090F" w:rsidP="00E9090F">
      <w:pPr>
        <w:widowControl/>
        <w:shd w:val="clear" w:color="auto" w:fill="FFFFFF"/>
        <w:spacing w:before="156" w:after="156" w:line="315" w:lineRule="atLeast"/>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 xml:space="preserve">　　上述违法事实，有涉案账户股票交易记录、通话记录、询问笔录等证据在案证明，足以认定。</w:t>
      </w:r>
    </w:p>
    <w:p w14:paraId="41FB8151" w14:textId="77777777" w:rsidR="00E9090F" w:rsidRPr="00E9090F" w:rsidRDefault="00E9090F" w:rsidP="00E9090F">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楼建峰的行为违反了《证券法》第七十三条、第七十六条第一款之规定，构成了《证券法》第二百零二条所述情形。</w:t>
      </w:r>
    </w:p>
    <w:p w14:paraId="689CD3AB" w14:textId="77777777" w:rsidR="00E9090F" w:rsidRPr="00E9090F" w:rsidRDefault="00E9090F" w:rsidP="00E9090F">
      <w:pPr>
        <w:widowControl/>
        <w:shd w:val="clear" w:color="auto" w:fill="FFFFFF"/>
        <w:spacing w:before="156" w:after="156" w:line="315" w:lineRule="atLeast"/>
        <w:ind w:firstLine="378"/>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根据当事人违法行为的事实、性质、情节与社会危害程度，依据《证券法》第二百零二条的规定，我局决定：对楼建峰处以人民币50万元的罚款。</w:t>
      </w:r>
    </w:p>
    <w:p w14:paraId="63713FC1" w14:textId="77777777" w:rsidR="00E9090F" w:rsidRPr="00E9090F" w:rsidRDefault="00E9090F" w:rsidP="00E9090F">
      <w:pPr>
        <w:widowControl/>
        <w:shd w:val="clear" w:color="auto" w:fill="FFFFFF"/>
        <w:spacing w:before="156" w:after="156" w:line="315" w:lineRule="atLeast"/>
        <w:ind w:firstLine="378"/>
        <w:jc w:val="left"/>
        <w:rPr>
          <w:rFonts w:ascii="宋体" w:eastAsia="宋体" w:hAnsi="宋体" w:cs="宋体" w:hint="eastAsia"/>
          <w:color w:val="333333"/>
          <w:kern w:val="0"/>
          <w:szCs w:val="21"/>
        </w:rPr>
      </w:pPr>
      <w:r w:rsidRPr="00E9090F">
        <w:rPr>
          <w:rFonts w:ascii="宋体" w:eastAsia="宋体" w:hAnsi="宋体" w:cs="宋体" w:hint="eastAsia"/>
          <w:color w:val="000000"/>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AA7B9E4" w14:textId="77777777" w:rsidR="00E9090F" w:rsidRPr="00E9090F" w:rsidRDefault="00E9090F" w:rsidP="00E9090F">
      <w:pPr>
        <w:widowControl/>
        <w:shd w:val="clear" w:color="auto" w:fill="FFFFFF"/>
        <w:spacing w:before="156" w:after="156" w:line="315" w:lineRule="atLeast"/>
        <w:ind w:firstLine="378"/>
        <w:jc w:val="left"/>
        <w:rPr>
          <w:rFonts w:ascii="宋体" w:eastAsia="宋体" w:hAnsi="宋体" w:cs="宋体" w:hint="eastAsia"/>
          <w:color w:val="333333"/>
          <w:kern w:val="0"/>
          <w:szCs w:val="21"/>
        </w:rPr>
      </w:pPr>
      <w:r w:rsidRPr="00E9090F">
        <w:rPr>
          <w:rFonts w:ascii="宋体" w:eastAsia="宋体" w:hAnsi="宋体" w:cs="宋体" w:hint="eastAsia"/>
          <w:color w:val="333333"/>
          <w:kern w:val="0"/>
          <w:szCs w:val="21"/>
        </w:rPr>
        <w:t> </w:t>
      </w:r>
    </w:p>
    <w:p w14:paraId="5F930D15" w14:textId="77777777" w:rsidR="00E9090F" w:rsidRPr="00E9090F" w:rsidRDefault="00E9090F" w:rsidP="00E9090F">
      <w:pPr>
        <w:widowControl/>
        <w:shd w:val="clear" w:color="auto" w:fill="FFFFFF"/>
        <w:spacing w:before="156" w:after="156" w:line="315" w:lineRule="atLeast"/>
        <w:ind w:firstLine="378"/>
        <w:jc w:val="left"/>
        <w:rPr>
          <w:rFonts w:ascii="宋体" w:eastAsia="宋体" w:hAnsi="宋体" w:cs="宋体" w:hint="eastAsia"/>
          <w:color w:val="333333"/>
          <w:kern w:val="0"/>
          <w:szCs w:val="21"/>
        </w:rPr>
      </w:pPr>
      <w:r w:rsidRPr="00E9090F">
        <w:rPr>
          <w:rFonts w:ascii="宋体" w:eastAsia="宋体" w:hAnsi="宋体" w:cs="宋体" w:hint="eastAsia"/>
          <w:color w:val="333333"/>
          <w:kern w:val="0"/>
          <w:szCs w:val="21"/>
        </w:rPr>
        <w:t> </w:t>
      </w:r>
    </w:p>
    <w:p w14:paraId="2769D3BE" w14:textId="77777777" w:rsidR="00E9090F" w:rsidRPr="00E9090F" w:rsidRDefault="00E9090F" w:rsidP="00E9090F">
      <w:pPr>
        <w:widowControl/>
        <w:shd w:val="clear" w:color="auto" w:fill="FFFFFF"/>
        <w:spacing w:before="156" w:after="156" w:line="315" w:lineRule="atLeast"/>
        <w:jc w:val="center"/>
        <w:rPr>
          <w:rFonts w:ascii="宋体" w:eastAsia="宋体" w:hAnsi="宋体" w:cs="宋体" w:hint="eastAsia"/>
          <w:color w:val="333333"/>
          <w:kern w:val="0"/>
          <w:szCs w:val="21"/>
        </w:rPr>
      </w:pPr>
      <w:r w:rsidRPr="00E9090F">
        <w:rPr>
          <w:rFonts w:ascii="宋体" w:eastAsia="宋体" w:hAnsi="宋体" w:cs="宋体" w:hint="eastAsia"/>
          <w:color w:val="333333"/>
          <w:kern w:val="0"/>
          <w:szCs w:val="21"/>
        </w:rPr>
        <w:t xml:space="preserve">　　　　　　　　　　　　　　　　　　 宁波证监局</w:t>
      </w:r>
    </w:p>
    <w:p w14:paraId="21ECF631" w14:textId="77777777" w:rsidR="00E9090F" w:rsidRPr="00E9090F" w:rsidRDefault="00E9090F" w:rsidP="00E9090F">
      <w:pPr>
        <w:widowControl/>
        <w:shd w:val="clear" w:color="auto" w:fill="FFFFFF"/>
        <w:wordWrap w:val="0"/>
        <w:spacing w:before="156" w:after="156" w:line="315" w:lineRule="atLeast"/>
        <w:jc w:val="center"/>
        <w:rPr>
          <w:rFonts w:ascii="宋体" w:eastAsia="宋体" w:hAnsi="宋体" w:cs="宋体" w:hint="eastAsia"/>
          <w:color w:val="333333"/>
          <w:kern w:val="0"/>
          <w:szCs w:val="21"/>
        </w:rPr>
      </w:pPr>
      <w:r w:rsidRPr="00E9090F">
        <w:rPr>
          <w:rFonts w:ascii="宋体" w:eastAsia="宋体" w:hAnsi="宋体" w:cs="宋体" w:hint="eastAsia"/>
          <w:color w:val="333333"/>
          <w:kern w:val="0"/>
          <w:szCs w:val="21"/>
        </w:rPr>
        <w:t xml:space="preserve">　　　　　　　　　　　　　　　　　  2015 年11月18日</w:t>
      </w:r>
    </w:p>
    <w:p w14:paraId="1AAD8B4C"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0F"/>
    <w:rsid w:val="00E9090F"/>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9117"/>
  <w15:chartTrackingRefBased/>
  <w15:docId w15:val="{6B72F720-4BBA-445B-B249-08BDA933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E909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150130">
      <w:bodyDiv w:val="1"/>
      <w:marLeft w:val="0"/>
      <w:marRight w:val="0"/>
      <w:marTop w:val="0"/>
      <w:marBottom w:val="0"/>
      <w:divBdr>
        <w:top w:val="none" w:sz="0" w:space="0" w:color="auto"/>
        <w:left w:val="none" w:sz="0" w:space="0" w:color="auto"/>
        <w:bottom w:val="none" w:sz="0" w:space="0" w:color="auto"/>
        <w:right w:val="none" w:sz="0" w:space="0" w:color="auto"/>
      </w:divBdr>
      <w:divsChild>
        <w:div w:id="79375850">
          <w:marLeft w:val="0"/>
          <w:marRight w:val="0"/>
          <w:marTop w:val="0"/>
          <w:marBottom w:val="0"/>
          <w:divBdr>
            <w:top w:val="none" w:sz="0" w:space="23" w:color="auto"/>
            <w:left w:val="none" w:sz="0" w:space="31" w:color="auto"/>
            <w:bottom w:val="single" w:sz="12" w:space="11" w:color="CCCCCC"/>
            <w:right w:val="none" w:sz="0" w:space="31" w:color="auto"/>
          </w:divBdr>
        </w:div>
        <w:div w:id="4367553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2021-10-06T04:07:00Z</dcterms:created>
  <dcterms:modified xsi:type="dcterms:W3CDTF">2021-10-06T04:08:00Z</dcterms:modified>
</cp:coreProperties>
</file>