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7196" w14:textId="77777777" w:rsidR="005B2979" w:rsidRPr="005B2979" w:rsidRDefault="005B2979" w:rsidP="005B2979">
      <w:pPr>
        <w:widowControl/>
        <w:shd w:val="clear" w:color="auto" w:fill="FFFFFF"/>
        <w:spacing w:line="525" w:lineRule="atLeast"/>
        <w:jc w:val="center"/>
        <w:rPr>
          <w:rFonts w:ascii="微软雅黑" w:eastAsia="微软雅黑" w:hAnsi="微软雅黑" w:cs="宋体"/>
          <w:b/>
          <w:bCs/>
          <w:color w:val="0C5CB1"/>
          <w:kern w:val="0"/>
          <w:sz w:val="30"/>
          <w:szCs w:val="30"/>
        </w:rPr>
      </w:pPr>
      <w:r w:rsidRPr="005B2979">
        <w:rPr>
          <w:rFonts w:ascii="微软雅黑" w:eastAsia="微软雅黑" w:hAnsi="微软雅黑" w:cs="宋体" w:hint="eastAsia"/>
          <w:b/>
          <w:bCs/>
          <w:color w:val="0C5CB1"/>
          <w:kern w:val="0"/>
          <w:sz w:val="30"/>
          <w:szCs w:val="30"/>
        </w:rPr>
        <w:t>中国证券监督管理委员会山东监管局行政处罚决定书（【2019】4号）</w:t>
      </w:r>
    </w:p>
    <w:p w14:paraId="4D2A6F91" w14:textId="77777777" w:rsidR="005B2979" w:rsidRPr="005B2979" w:rsidRDefault="005B2979" w:rsidP="005B2979">
      <w:pPr>
        <w:widowControl/>
        <w:shd w:val="clear" w:color="auto" w:fill="FFFFFF"/>
        <w:jc w:val="center"/>
        <w:rPr>
          <w:rFonts w:ascii="宋体" w:eastAsia="宋体" w:hAnsi="宋体" w:cs="宋体" w:hint="eastAsia"/>
          <w:color w:val="888888"/>
          <w:kern w:val="0"/>
          <w:sz w:val="18"/>
          <w:szCs w:val="18"/>
        </w:rPr>
      </w:pPr>
      <w:r w:rsidRPr="005B2979">
        <w:rPr>
          <w:rFonts w:ascii="宋体" w:eastAsia="宋体" w:hAnsi="宋体" w:cs="宋体" w:hint="eastAsia"/>
          <w:color w:val="888888"/>
          <w:kern w:val="0"/>
          <w:sz w:val="18"/>
          <w:szCs w:val="18"/>
        </w:rPr>
        <w:t>时间：2019-06-19 来源：</w:t>
      </w:r>
    </w:p>
    <w:p w14:paraId="7006F2FA" w14:textId="77777777" w:rsidR="005B2979" w:rsidRPr="005B2979" w:rsidRDefault="005B2979" w:rsidP="005B2979">
      <w:pPr>
        <w:widowControl/>
        <w:shd w:val="clear" w:color="auto" w:fill="FFFFFF"/>
        <w:jc w:val="left"/>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 </w:t>
      </w:r>
    </w:p>
    <w:p w14:paraId="55A450D6" w14:textId="77777777" w:rsidR="005B2979" w:rsidRPr="005B2979" w:rsidRDefault="005B2979" w:rsidP="005B2979">
      <w:pPr>
        <w:widowControl/>
        <w:shd w:val="clear" w:color="auto" w:fill="FFFFFF"/>
        <w:spacing w:line="560" w:lineRule="atLeast"/>
        <w:ind w:firstLine="420"/>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当事人：李玉顺，男，1961年12月出生，住址为淄博市临淄区。</w:t>
      </w:r>
    </w:p>
    <w:p w14:paraId="1BBE10DD" w14:textId="77777777" w:rsidR="005B2979" w:rsidRPr="005B2979" w:rsidRDefault="005B2979" w:rsidP="005B2979">
      <w:pPr>
        <w:widowControl/>
        <w:shd w:val="clear" w:color="auto" w:fill="FFFFFF"/>
        <w:spacing w:line="560" w:lineRule="atLeast"/>
        <w:ind w:firstLine="420"/>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依据《中华人民共和国证券法》（以下简称《证券法》）的有关规定，我局对李玉顺内幕交易山东三维石化工程股份有限公司（以下简称三维工程）股票的行为进行了立案调查、审理，并依法向当事人告知了</w:t>
      </w:r>
      <w:proofErr w:type="gramStart"/>
      <w:r w:rsidRPr="005B2979">
        <w:rPr>
          <w:rFonts w:ascii="宋体" w:eastAsia="宋体" w:hAnsi="宋体" w:cs="宋体" w:hint="eastAsia"/>
          <w:color w:val="333333"/>
          <w:kern w:val="0"/>
          <w:szCs w:val="21"/>
        </w:rPr>
        <w:t>作出</w:t>
      </w:r>
      <w:proofErr w:type="gramEnd"/>
      <w:r w:rsidRPr="005B2979">
        <w:rPr>
          <w:rFonts w:ascii="宋体" w:eastAsia="宋体" w:hAnsi="宋体" w:cs="宋体" w:hint="eastAsia"/>
          <w:color w:val="333333"/>
          <w:kern w:val="0"/>
          <w:szCs w:val="21"/>
        </w:rPr>
        <w:t>行政处罚的事实、理由、依据以及当事人依法享有的权利，当事人未提出陈述、申辩意见。本案现已调查、审理终结。</w:t>
      </w:r>
    </w:p>
    <w:p w14:paraId="6599B012" w14:textId="77777777" w:rsidR="005B2979" w:rsidRPr="005B2979" w:rsidRDefault="005B2979" w:rsidP="005B2979">
      <w:pPr>
        <w:widowControl/>
        <w:shd w:val="clear" w:color="auto" w:fill="FFFFFF"/>
        <w:spacing w:line="560" w:lineRule="atLeast"/>
        <w:ind w:firstLine="420"/>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经查明，李玉</w:t>
      </w:r>
      <w:proofErr w:type="gramStart"/>
      <w:r w:rsidRPr="005B2979">
        <w:rPr>
          <w:rFonts w:ascii="宋体" w:eastAsia="宋体" w:hAnsi="宋体" w:cs="宋体" w:hint="eastAsia"/>
          <w:color w:val="333333"/>
          <w:kern w:val="0"/>
          <w:szCs w:val="21"/>
        </w:rPr>
        <w:t>顺存在</w:t>
      </w:r>
      <w:proofErr w:type="gramEnd"/>
      <w:r w:rsidRPr="005B2979">
        <w:rPr>
          <w:rFonts w:ascii="宋体" w:eastAsia="宋体" w:hAnsi="宋体" w:cs="宋体" w:hint="eastAsia"/>
          <w:color w:val="333333"/>
          <w:kern w:val="0"/>
          <w:szCs w:val="21"/>
        </w:rPr>
        <w:t>以下违法事实：</w:t>
      </w:r>
    </w:p>
    <w:p w14:paraId="54048ECF" w14:textId="77777777" w:rsidR="005B2979" w:rsidRPr="005B2979" w:rsidRDefault="005B2979" w:rsidP="005B2979">
      <w:pPr>
        <w:widowControl/>
        <w:shd w:val="clear" w:color="auto" w:fill="FFFFFF"/>
        <w:spacing w:line="560" w:lineRule="atLeast"/>
        <w:ind w:firstLine="420"/>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一、内幕信息的形成、公开过程</w:t>
      </w:r>
    </w:p>
    <w:p w14:paraId="4DE78718" w14:textId="77777777" w:rsidR="005B2979" w:rsidRPr="005B2979" w:rsidRDefault="005B2979" w:rsidP="005B2979">
      <w:pPr>
        <w:widowControl/>
        <w:shd w:val="clear" w:color="auto" w:fill="FFFFFF"/>
        <w:spacing w:line="560" w:lineRule="atLeast"/>
        <w:ind w:firstLine="420"/>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山东齐鲁石化工程有限公司（以下简称齐鲁工程）与三维工程同属于齐鲁石化的改制企业，且两公司在业务方面存在互补。因此，三维工程董事长曲某秋有收购齐鲁工程的想法，并向齐鲁工程时任董事长刘某河提出过一起合作的想法，且提交了初步意向材料。2016年春节过后，刘某河打电话给曲某秋，就收购事项进行初步商谈。此后，双方决定着手推进此次合作事宜。2016年2月24日，曲某秋将拟收购齐鲁工程的想法告诉了董事会秘书高某，让高某起草股权收购协议；2月25日，高某将起草好的《山东三维石化工程股份有限公司收购山东齐鲁石化工程有限公司股权框架协议》（以下简称《框架协议》），通过电子邮件发给了齐鲁工程综合部部长郝某晓，郝某晓收到邮件后，打印出来交给了刘某河。2016年2月29日，双方就开展合作事宜签署了《保密协议》。2016年3月初，高某联系华泰证券、锦天</w:t>
      </w:r>
      <w:proofErr w:type="gramStart"/>
      <w:r w:rsidRPr="005B2979">
        <w:rPr>
          <w:rFonts w:ascii="宋体" w:eastAsia="宋体" w:hAnsi="宋体" w:cs="宋体" w:hint="eastAsia"/>
          <w:color w:val="333333"/>
          <w:kern w:val="0"/>
          <w:szCs w:val="21"/>
        </w:rPr>
        <w:t>城律师</w:t>
      </w:r>
      <w:proofErr w:type="gramEnd"/>
      <w:r w:rsidRPr="005B2979">
        <w:rPr>
          <w:rFonts w:ascii="宋体" w:eastAsia="宋体" w:hAnsi="宋体" w:cs="宋体" w:hint="eastAsia"/>
          <w:color w:val="333333"/>
          <w:kern w:val="0"/>
          <w:szCs w:val="21"/>
        </w:rPr>
        <w:t>事务所、大华会计师事务相关人员，筹划对齐鲁工程开展尽职调查。大约在2016年5月3、4号，郝某晓向高某提出希望公司股票尽快停牌。之后，高某将上述事项报告给曲某秋，曲某秋同意尽快停牌。2016年5月9日，三维工程发布了公司拟筹划并购事项，该事项可能涉及重大资产重组的停牌公告。2016年5月10日，三维工程股票停牌。2016年6月6日，双方签订了正式的《合作框架协议》。2016年7月27日下午，股权收购双方及</w:t>
      </w:r>
      <w:r w:rsidRPr="005B2979">
        <w:rPr>
          <w:rFonts w:ascii="宋体" w:eastAsia="宋体" w:hAnsi="宋体" w:cs="宋体" w:hint="eastAsia"/>
          <w:color w:val="333333"/>
          <w:kern w:val="0"/>
          <w:szCs w:val="21"/>
        </w:rPr>
        <w:lastRenderedPageBreak/>
        <w:t>中介机构召开项目协调会，各方充分讨论后认为，公司历史沿革方面存在的问题会对此次股权收购事项带来一定风险，公司可能无法在深交所允许的最长停牌时间内完成重组预案（或报告书）的披露工作。经进一步沟通协商，双方于2016年8月1日上午决定终止筹划本次并购事项。2016年8月2日，三维工程股票复牌。</w:t>
      </w:r>
    </w:p>
    <w:p w14:paraId="46369323" w14:textId="77777777" w:rsidR="005B2979" w:rsidRPr="005B2979" w:rsidRDefault="005B2979" w:rsidP="005B2979">
      <w:pPr>
        <w:widowControl/>
        <w:shd w:val="clear" w:color="auto" w:fill="FFFFFF"/>
        <w:spacing w:line="560" w:lineRule="atLeast"/>
        <w:ind w:firstLine="555"/>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三维工程收购齐鲁工程事项，属于《证券法》第六十七条第二款第二项规定的“公司重大的投资行为和重大的购置财产的决定”，公开前为《证券法》第七十五条第二款第一项规定的内幕信息。该内幕信息敏感期的起点不晚于2016年2月24日，终点为5月10日股票停牌之日。</w:t>
      </w:r>
    </w:p>
    <w:p w14:paraId="36B78360" w14:textId="77777777" w:rsidR="005B2979" w:rsidRPr="005B2979" w:rsidRDefault="005B2979" w:rsidP="005B2979">
      <w:pPr>
        <w:widowControl/>
        <w:shd w:val="clear" w:color="auto" w:fill="FFFFFF"/>
        <w:spacing w:line="560" w:lineRule="atLeast"/>
        <w:ind w:firstLine="420"/>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二、李玉顺内幕交易“三维工程”</w:t>
      </w:r>
    </w:p>
    <w:p w14:paraId="3937D5AA" w14:textId="77777777" w:rsidR="005B2979" w:rsidRPr="005B2979" w:rsidRDefault="005B2979" w:rsidP="005B2979">
      <w:pPr>
        <w:widowControl/>
        <w:shd w:val="clear" w:color="auto" w:fill="FFFFFF"/>
        <w:spacing w:line="560" w:lineRule="atLeast"/>
        <w:ind w:firstLine="420"/>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（一）李玉顺通过列席公司董事会获悉内幕信息</w:t>
      </w:r>
    </w:p>
    <w:p w14:paraId="2E0CA1CB" w14:textId="77777777" w:rsidR="005B2979" w:rsidRPr="005B2979" w:rsidRDefault="005B2979" w:rsidP="005B2979">
      <w:pPr>
        <w:widowControl/>
        <w:shd w:val="clear" w:color="auto" w:fill="FFFFFF"/>
        <w:spacing w:line="560" w:lineRule="atLeast"/>
        <w:ind w:firstLine="420"/>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齐鲁工程为了推进股权收购事项，分别于2016年2月27日、4月18日、5月3日召开过三次董事会，4月18日董事会审议通过了《齐鲁工程交易方案》，5月3日董事会审议通过了签署《框架协议》的决议。李玉顺时任齐鲁工程副董事长，参加了上述三次董事会，通过参加董事会知悉了股权收购事项的推进进程及相关细节，属于《证券法》第七十四条规定的内幕信息知情人，其知悉内幕信息的时间不晚于2016年2月27日。</w:t>
      </w:r>
    </w:p>
    <w:p w14:paraId="35A7A3B7" w14:textId="77777777" w:rsidR="005B2979" w:rsidRPr="005B2979" w:rsidRDefault="005B2979" w:rsidP="005B2979">
      <w:pPr>
        <w:widowControl/>
        <w:shd w:val="clear" w:color="auto" w:fill="FFFFFF"/>
        <w:spacing w:line="560" w:lineRule="atLeast"/>
        <w:ind w:firstLine="420"/>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（二）李玉顺为其本人及“李某华”账户的实际控制人</w:t>
      </w:r>
    </w:p>
    <w:p w14:paraId="7B407B71" w14:textId="77777777" w:rsidR="005B2979" w:rsidRPr="005B2979" w:rsidRDefault="005B2979" w:rsidP="005B2979">
      <w:pPr>
        <w:widowControl/>
        <w:shd w:val="clear" w:color="auto" w:fill="FFFFFF"/>
        <w:spacing w:line="560" w:lineRule="atLeast"/>
        <w:ind w:firstLine="420"/>
        <w:rPr>
          <w:rFonts w:ascii="宋体" w:eastAsia="宋体" w:hAnsi="宋体" w:cs="宋体" w:hint="eastAsia"/>
          <w:color w:val="333333"/>
          <w:kern w:val="0"/>
          <w:szCs w:val="21"/>
        </w:rPr>
      </w:pPr>
      <w:proofErr w:type="gramStart"/>
      <w:r w:rsidRPr="005B2979">
        <w:rPr>
          <w:rFonts w:ascii="宋体" w:eastAsia="宋体" w:hAnsi="宋体" w:cs="宋体" w:hint="eastAsia"/>
          <w:color w:val="333333"/>
          <w:kern w:val="0"/>
          <w:szCs w:val="21"/>
        </w:rPr>
        <w:t>李某华为</w:t>
      </w:r>
      <w:proofErr w:type="gramEnd"/>
      <w:r w:rsidRPr="005B2979">
        <w:rPr>
          <w:rFonts w:ascii="宋体" w:eastAsia="宋体" w:hAnsi="宋体" w:cs="宋体" w:hint="eastAsia"/>
          <w:color w:val="333333"/>
          <w:kern w:val="0"/>
          <w:szCs w:val="21"/>
        </w:rPr>
        <w:t>李玉顺配偶，“李玉顺”及“李某华”账户均由李玉顺使用自己手机操作，</w:t>
      </w:r>
      <w:proofErr w:type="gramStart"/>
      <w:r w:rsidRPr="005B2979">
        <w:rPr>
          <w:rFonts w:ascii="宋体" w:eastAsia="宋体" w:hAnsi="宋体" w:cs="宋体" w:hint="eastAsia"/>
          <w:color w:val="333333"/>
          <w:kern w:val="0"/>
          <w:szCs w:val="21"/>
        </w:rPr>
        <w:t>李某华不知道</w:t>
      </w:r>
      <w:proofErr w:type="gramEnd"/>
      <w:r w:rsidRPr="005B2979">
        <w:rPr>
          <w:rFonts w:ascii="宋体" w:eastAsia="宋体" w:hAnsi="宋体" w:cs="宋体" w:hint="eastAsia"/>
          <w:color w:val="333333"/>
          <w:kern w:val="0"/>
          <w:szCs w:val="21"/>
        </w:rPr>
        <w:t>自己账户的用户名和密码。“李玉顺”“李某华”账户委托交易记录显示，两个账户主要使用手机下单，敏感期内交易下单手机号码是使用李玉顺身份证登记，由李玉顺本人使用。</w:t>
      </w:r>
    </w:p>
    <w:p w14:paraId="73CCA7B1" w14:textId="77777777" w:rsidR="005B2979" w:rsidRPr="005B2979" w:rsidRDefault="005B2979" w:rsidP="005B2979">
      <w:pPr>
        <w:widowControl/>
        <w:shd w:val="clear" w:color="auto" w:fill="FFFFFF"/>
        <w:spacing w:line="560" w:lineRule="atLeast"/>
        <w:ind w:firstLine="420"/>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（三）“李玉顺”和“李某华”账户资金划转情况</w:t>
      </w:r>
    </w:p>
    <w:p w14:paraId="0D4A2512" w14:textId="77777777" w:rsidR="005B2979" w:rsidRPr="005B2979" w:rsidRDefault="005B2979" w:rsidP="005B2979">
      <w:pPr>
        <w:widowControl/>
        <w:shd w:val="clear" w:color="auto" w:fill="FFFFFF"/>
        <w:spacing w:line="560" w:lineRule="atLeast"/>
        <w:ind w:firstLine="420"/>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“李玉顺”“李某华”账户的三方存管银行账户银证转账业务不频繁，转入转出资金规模也较小。李玉顺称，他本人及“李某华”账户的交易资金都来源于其家庭收入。</w:t>
      </w:r>
    </w:p>
    <w:p w14:paraId="707CC913" w14:textId="77777777" w:rsidR="005B2979" w:rsidRPr="005B2979" w:rsidRDefault="005B2979" w:rsidP="005B2979">
      <w:pPr>
        <w:widowControl/>
        <w:shd w:val="clear" w:color="auto" w:fill="FFFFFF"/>
        <w:spacing w:line="560" w:lineRule="atLeast"/>
        <w:ind w:firstLine="420"/>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（四）“李玉顺”和“李某华”账户敏感期内交易“三维工程”情况</w:t>
      </w:r>
    </w:p>
    <w:p w14:paraId="7E3ADE2D" w14:textId="77777777" w:rsidR="005B2979" w:rsidRPr="005B2979" w:rsidRDefault="005B2979" w:rsidP="005B2979">
      <w:pPr>
        <w:widowControl/>
        <w:shd w:val="clear" w:color="auto" w:fill="FFFFFF"/>
        <w:spacing w:line="560" w:lineRule="atLeast"/>
        <w:ind w:firstLine="420"/>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lastRenderedPageBreak/>
        <w:t>“李玉顺”账户于2015年6月5日开立于招商证券青岛香港中路证券营业部，“李某华”账户于1998年7月31日开立于中泰证券淄博临淄大道营业部。2016年2月27日至敏感期结束前，“李玉顺”账户累计买入“三维工程”10,400股，买入金额126,045元，累计卖出“三维工程”6,700股，卖出金额86,802元；“李某华”账户累计买入“三维工程”1,300股，买入金额16,091元，累计卖出1,300股，卖出金额16,685元。截至调查日，上述账户敏感期内买入股票已全部卖出，累计获利5,732.26元。</w:t>
      </w:r>
    </w:p>
    <w:p w14:paraId="336A635A" w14:textId="77777777" w:rsidR="005B2979" w:rsidRPr="005B2979" w:rsidRDefault="005B2979" w:rsidP="005B2979">
      <w:pPr>
        <w:widowControl/>
        <w:shd w:val="clear" w:color="auto" w:fill="FFFFFF"/>
        <w:spacing w:line="560" w:lineRule="atLeast"/>
        <w:ind w:firstLine="420"/>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以上事实有三维工程公司说明、三维工程公告、相关会议记录、相关人员询问笔录、涉案账户开户资料、交易流水、资金划转记录、相关交易信息等证据为证。</w:t>
      </w:r>
    </w:p>
    <w:p w14:paraId="1372490B" w14:textId="77777777" w:rsidR="005B2979" w:rsidRPr="005B2979" w:rsidRDefault="005B2979" w:rsidP="005B2979">
      <w:pPr>
        <w:widowControl/>
        <w:shd w:val="clear" w:color="auto" w:fill="FFFFFF"/>
        <w:spacing w:line="560" w:lineRule="atLeast"/>
        <w:ind w:firstLine="420"/>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李玉顺通过列席公司董事会获悉内幕信息后，使用“李玉顺”和“李某华”账户利用内幕信息买入“三维工程”的行为，违反了《证券法》第七十三条、第七十六条的规定，构成《证券法》第二百零二条所述内幕交易。</w:t>
      </w:r>
    </w:p>
    <w:p w14:paraId="2268DA34" w14:textId="77777777" w:rsidR="005B2979" w:rsidRPr="005B2979" w:rsidRDefault="005B2979" w:rsidP="005B2979">
      <w:pPr>
        <w:widowControl/>
        <w:shd w:val="clear" w:color="auto" w:fill="FFFFFF"/>
        <w:spacing w:line="560" w:lineRule="atLeast"/>
        <w:ind w:firstLine="420"/>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根据当事人的违法事实、性质、情节和社会危害程度，依据《证券法》第二百零二条的规定，我局决定：对李玉顺处以3万元罚款。</w:t>
      </w:r>
    </w:p>
    <w:p w14:paraId="2B87C101" w14:textId="77777777" w:rsidR="005B2979" w:rsidRPr="005B2979" w:rsidRDefault="005B2979" w:rsidP="005B2979">
      <w:pPr>
        <w:widowControl/>
        <w:shd w:val="clear" w:color="auto" w:fill="FFFFFF"/>
        <w:spacing w:line="560" w:lineRule="atLeast"/>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 xml:space="preserve">　  上述当事人应自收到本处罚决定书之日起15日内，将罚款汇交中国证券监督管理委员会（财政</w:t>
      </w:r>
      <w:proofErr w:type="gramStart"/>
      <w:r w:rsidRPr="005B2979">
        <w:rPr>
          <w:rFonts w:ascii="宋体" w:eastAsia="宋体" w:hAnsi="宋体" w:cs="宋体" w:hint="eastAsia"/>
          <w:color w:val="333333"/>
          <w:kern w:val="0"/>
          <w:szCs w:val="21"/>
        </w:rPr>
        <w:t>汇缴专户</w:t>
      </w:r>
      <w:proofErr w:type="gramEnd"/>
      <w:r w:rsidRPr="005B2979">
        <w:rPr>
          <w:rFonts w:ascii="宋体" w:eastAsia="宋体" w:hAnsi="宋体" w:cs="宋体" w:hint="eastAsia"/>
          <w:color w:val="333333"/>
          <w:kern w:val="0"/>
          <w:szCs w:val="21"/>
        </w:rPr>
        <w:t>），开户银行：中信银行总行营业部，账号：7111010189800000162，由该行直接上缴国库，并将注有当事人名称的付款凭证复印件送中国证券监督管理委员会稽查局及山东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1203FB1D" w14:textId="77777777" w:rsidR="005B2979" w:rsidRPr="005B2979" w:rsidRDefault="005B2979" w:rsidP="005B2979">
      <w:pPr>
        <w:widowControl/>
        <w:shd w:val="clear" w:color="auto" w:fill="FFFFFF"/>
        <w:spacing w:line="560" w:lineRule="atLeast"/>
        <w:ind w:firstLine="464"/>
        <w:jc w:val="left"/>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 xml:space="preserve">　　　　　　　 </w:t>
      </w:r>
    </w:p>
    <w:p w14:paraId="3DC54068" w14:textId="77777777" w:rsidR="005B2979" w:rsidRPr="005B2979" w:rsidRDefault="005B2979" w:rsidP="005B2979">
      <w:pPr>
        <w:widowControl/>
        <w:shd w:val="clear" w:color="auto" w:fill="FFFFFF"/>
        <w:spacing w:line="560" w:lineRule="atLeast"/>
        <w:ind w:firstLine="464"/>
        <w:jc w:val="left"/>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 </w:t>
      </w:r>
    </w:p>
    <w:p w14:paraId="5344AA73" w14:textId="77777777" w:rsidR="005B2979" w:rsidRPr="005B2979" w:rsidRDefault="005B2979" w:rsidP="005B2979">
      <w:pPr>
        <w:widowControl/>
        <w:shd w:val="clear" w:color="auto" w:fill="FFFFFF"/>
        <w:spacing w:line="560" w:lineRule="atLeast"/>
        <w:ind w:firstLine="464"/>
        <w:jc w:val="left"/>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 xml:space="preserve">　　　 </w:t>
      </w:r>
    </w:p>
    <w:p w14:paraId="0C4BE15C" w14:textId="77777777" w:rsidR="005B2979" w:rsidRPr="005B2979" w:rsidRDefault="005B2979" w:rsidP="005B2979">
      <w:pPr>
        <w:widowControl/>
        <w:shd w:val="clear" w:color="auto" w:fill="FFFFFF"/>
        <w:wordWrap w:val="0"/>
        <w:spacing w:line="560" w:lineRule="atLeast"/>
        <w:ind w:firstLine="464"/>
        <w:jc w:val="right"/>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 xml:space="preserve">　　　　　　  中国证券监督管理委员会山东监管局 　 </w:t>
      </w:r>
    </w:p>
    <w:p w14:paraId="56114942" w14:textId="77777777" w:rsidR="005B2979" w:rsidRPr="005B2979" w:rsidRDefault="005B2979" w:rsidP="005B2979">
      <w:pPr>
        <w:widowControl/>
        <w:shd w:val="clear" w:color="auto" w:fill="FFFFFF"/>
        <w:wordWrap w:val="0"/>
        <w:spacing w:line="560" w:lineRule="atLeast"/>
        <w:ind w:firstLine="464"/>
        <w:jc w:val="right"/>
        <w:rPr>
          <w:rFonts w:ascii="宋体" w:eastAsia="宋体" w:hAnsi="宋体" w:cs="宋体" w:hint="eastAsia"/>
          <w:color w:val="333333"/>
          <w:kern w:val="0"/>
          <w:szCs w:val="21"/>
        </w:rPr>
      </w:pPr>
      <w:r w:rsidRPr="005B2979">
        <w:rPr>
          <w:rFonts w:ascii="宋体" w:eastAsia="宋体" w:hAnsi="宋体" w:cs="宋体" w:hint="eastAsia"/>
          <w:color w:val="333333"/>
          <w:kern w:val="0"/>
          <w:szCs w:val="21"/>
        </w:rPr>
        <w:t xml:space="preserve">　　　　　　　　　　　  2019年6月18日 　　</w:t>
      </w:r>
      <w:proofErr w:type="gramStart"/>
      <w:r w:rsidRPr="005B2979">
        <w:rPr>
          <w:rFonts w:ascii="宋体" w:eastAsia="宋体" w:hAnsi="宋体" w:cs="宋体" w:hint="eastAsia"/>
          <w:color w:val="333333"/>
          <w:kern w:val="0"/>
          <w:szCs w:val="21"/>
        </w:rPr>
        <w:t xml:space="preserve">　</w:t>
      </w:r>
      <w:proofErr w:type="gramEnd"/>
      <w:r w:rsidRPr="005B2979">
        <w:rPr>
          <w:rFonts w:ascii="宋体" w:eastAsia="宋体" w:hAnsi="宋体" w:cs="宋体" w:hint="eastAsia"/>
          <w:color w:val="333333"/>
          <w:kern w:val="0"/>
          <w:szCs w:val="21"/>
        </w:rPr>
        <w:t> </w:t>
      </w:r>
    </w:p>
    <w:p w14:paraId="703443B6" w14:textId="77777777" w:rsidR="00A074B3" w:rsidRDefault="00A074B3"/>
    <w:sectPr w:rsidR="00A0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79"/>
    <w:rsid w:val="005B2979"/>
    <w:rsid w:val="00A07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84BD"/>
  <w15:chartTrackingRefBased/>
  <w15:docId w15:val="{CB1D5BCC-631C-4F6E-A8E0-F9F6C357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297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633198">
      <w:bodyDiv w:val="1"/>
      <w:marLeft w:val="0"/>
      <w:marRight w:val="0"/>
      <w:marTop w:val="0"/>
      <w:marBottom w:val="0"/>
      <w:divBdr>
        <w:top w:val="none" w:sz="0" w:space="0" w:color="auto"/>
        <w:left w:val="none" w:sz="0" w:space="0" w:color="auto"/>
        <w:bottom w:val="none" w:sz="0" w:space="0" w:color="auto"/>
        <w:right w:val="none" w:sz="0" w:space="0" w:color="auto"/>
      </w:divBdr>
      <w:divsChild>
        <w:div w:id="1395010635">
          <w:marLeft w:val="0"/>
          <w:marRight w:val="0"/>
          <w:marTop w:val="0"/>
          <w:marBottom w:val="0"/>
          <w:divBdr>
            <w:top w:val="none" w:sz="0" w:space="23" w:color="auto"/>
            <w:left w:val="none" w:sz="0" w:space="31" w:color="auto"/>
            <w:bottom w:val="single" w:sz="12" w:space="11" w:color="CCCCCC"/>
            <w:right w:val="none" w:sz="0" w:space="31" w:color="auto"/>
          </w:divBdr>
        </w:div>
        <w:div w:id="123222937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2021-10-03T04:54:00Z</dcterms:created>
  <dcterms:modified xsi:type="dcterms:W3CDTF">2021-10-03T04:55:00Z</dcterms:modified>
</cp:coreProperties>
</file>