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86F27" w14:textId="77777777" w:rsidR="009E2A94" w:rsidRPr="009E2A94" w:rsidRDefault="009E2A94" w:rsidP="009E2A94">
      <w:pPr>
        <w:widowControl/>
        <w:shd w:val="clear" w:color="auto" w:fill="FFFFFF"/>
        <w:spacing w:line="525" w:lineRule="atLeast"/>
        <w:jc w:val="center"/>
        <w:rPr>
          <w:rFonts w:ascii="微软雅黑" w:eastAsia="微软雅黑" w:hAnsi="微软雅黑" w:cs="宋体"/>
          <w:b/>
          <w:bCs/>
          <w:color w:val="0C5CB1"/>
          <w:kern w:val="0"/>
          <w:sz w:val="30"/>
          <w:szCs w:val="30"/>
        </w:rPr>
      </w:pPr>
      <w:r w:rsidRPr="009E2A94">
        <w:rPr>
          <w:rFonts w:ascii="微软雅黑" w:eastAsia="微软雅黑" w:hAnsi="微软雅黑" w:cs="宋体" w:hint="eastAsia"/>
          <w:b/>
          <w:bCs/>
          <w:color w:val="0C5CB1"/>
          <w:kern w:val="0"/>
          <w:sz w:val="30"/>
          <w:szCs w:val="30"/>
        </w:rPr>
        <w:t>中国证券监督管理委员会广东监管局行政处罚决定书〔2014〕8号</w:t>
      </w:r>
    </w:p>
    <w:p w14:paraId="33DD1617" w14:textId="77777777" w:rsidR="009E2A94" w:rsidRPr="009E2A94" w:rsidRDefault="009E2A94" w:rsidP="009E2A94">
      <w:pPr>
        <w:widowControl/>
        <w:shd w:val="clear" w:color="auto" w:fill="FFFFFF"/>
        <w:jc w:val="center"/>
        <w:rPr>
          <w:rFonts w:ascii="宋体" w:eastAsia="宋体" w:hAnsi="宋体" w:cs="宋体"/>
          <w:color w:val="888888"/>
          <w:kern w:val="0"/>
          <w:sz w:val="18"/>
          <w:szCs w:val="18"/>
        </w:rPr>
      </w:pPr>
      <w:r w:rsidRPr="009E2A94">
        <w:rPr>
          <w:rFonts w:ascii="宋体" w:eastAsia="宋体" w:hAnsi="宋体" w:cs="宋体" w:hint="eastAsia"/>
          <w:color w:val="888888"/>
          <w:kern w:val="0"/>
          <w:sz w:val="18"/>
          <w:szCs w:val="18"/>
        </w:rPr>
        <w:t>时间：2014-11-06 来源：</w:t>
      </w:r>
    </w:p>
    <w:p w14:paraId="43A551EA" w14:textId="77777777" w:rsidR="009E2A94" w:rsidRPr="009E2A94" w:rsidRDefault="009E2A94" w:rsidP="009E2A94">
      <w:pPr>
        <w:widowControl/>
        <w:shd w:val="clear" w:color="auto" w:fill="FFFFFF"/>
        <w:spacing w:after="90"/>
        <w:ind w:firstLine="420"/>
        <w:jc w:val="left"/>
        <w:rPr>
          <w:rFonts w:ascii="宋体" w:eastAsia="宋体" w:hAnsi="宋体" w:cs="宋体"/>
          <w:color w:val="333333"/>
          <w:kern w:val="0"/>
          <w:szCs w:val="21"/>
        </w:rPr>
      </w:pPr>
      <w:r w:rsidRPr="009E2A94">
        <w:rPr>
          <w:rFonts w:ascii="宋体" w:eastAsia="宋体" w:hAnsi="宋体" w:cs="宋体" w:hint="eastAsia"/>
          <w:color w:val="333333"/>
          <w:kern w:val="0"/>
          <w:szCs w:val="21"/>
        </w:rPr>
        <w:t> </w:t>
      </w:r>
    </w:p>
    <w:p w14:paraId="38444484" w14:textId="77777777" w:rsidR="009E2A94" w:rsidRPr="009E2A94" w:rsidRDefault="009E2A94" w:rsidP="009E2A94">
      <w:pPr>
        <w:widowControl/>
        <w:shd w:val="clear" w:color="auto" w:fill="FFFFFF"/>
        <w:spacing w:before="90" w:after="90"/>
        <w:ind w:firstLine="420"/>
        <w:jc w:val="left"/>
        <w:rPr>
          <w:rFonts w:ascii="宋体" w:eastAsia="宋体" w:hAnsi="宋体" w:cs="宋体"/>
          <w:color w:val="333333"/>
          <w:kern w:val="0"/>
          <w:szCs w:val="21"/>
        </w:rPr>
      </w:pPr>
      <w:r w:rsidRPr="009E2A94">
        <w:rPr>
          <w:rFonts w:ascii="宋体" w:eastAsia="宋体" w:hAnsi="宋体" w:cs="宋体" w:hint="eastAsia"/>
          <w:color w:val="333333"/>
          <w:kern w:val="0"/>
          <w:szCs w:val="21"/>
        </w:rPr>
        <w:t>当事人：黄锦川，男，1982年6月出生，住广东省潮州市。</w:t>
      </w:r>
    </w:p>
    <w:p w14:paraId="2E0552DF" w14:textId="77777777" w:rsidR="009E2A94" w:rsidRPr="009E2A94" w:rsidRDefault="009E2A94" w:rsidP="009E2A94">
      <w:pPr>
        <w:widowControl/>
        <w:shd w:val="clear" w:color="auto" w:fill="FFFFFF"/>
        <w:spacing w:before="90" w:after="90"/>
        <w:ind w:firstLine="420"/>
        <w:jc w:val="left"/>
        <w:rPr>
          <w:rFonts w:ascii="宋体" w:eastAsia="宋体" w:hAnsi="宋体" w:cs="宋体"/>
          <w:color w:val="333333"/>
          <w:kern w:val="0"/>
          <w:szCs w:val="21"/>
        </w:rPr>
      </w:pPr>
      <w:r w:rsidRPr="009E2A94">
        <w:rPr>
          <w:rFonts w:ascii="宋体" w:eastAsia="宋体" w:hAnsi="宋体" w:cs="宋体" w:hint="eastAsia"/>
          <w:color w:val="333333"/>
          <w:kern w:val="0"/>
          <w:szCs w:val="21"/>
        </w:rPr>
        <w:t>依据《中华人民共和国证券法》（以下简称《证券法》）的有关规定，我局对黄锦川内幕交易“黑牛食品”股票行为进行了立案调查、审理，并依法向当事人告知了</w:t>
      </w:r>
      <w:proofErr w:type="gramStart"/>
      <w:r w:rsidRPr="009E2A94">
        <w:rPr>
          <w:rFonts w:ascii="宋体" w:eastAsia="宋体" w:hAnsi="宋体" w:cs="宋体" w:hint="eastAsia"/>
          <w:color w:val="333333"/>
          <w:kern w:val="0"/>
          <w:szCs w:val="21"/>
        </w:rPr>
        <w:t>作出</w:t>
      </w:r>
      <w:proofErr w:type="gramEnd"/>
      <w:r w:rsidRPr="009E2A94">
        <w:rPr>
          <w:rFonts w:ascii="宋体" w:eastAsia="宋体" w:hAnsi="宋体" w:cs="宋体" w:hint="eastAsia"/>
          <w:color w:val="333333"/>
          <w:kern w:val="0"/>
          <w:szCs w:val="21"/>
        </w:rPr>
        <w:t>行政处罚的事实、理由、依据及当事人依法享有的权利，当事人未提出陈述、申辩意见，也未要求听证。本案现已调查、审理终结。</w:t>
      </w:r>
    </w:p>
    <w:p w14:paraId="1D490377" w14:textId="77777777" w:rsidR="009E2A94" w:rsidRPr="009E2A94" w:rsidRDefault="009E2A94" w:rsidP="009E2A94">
      <w:pPr>
        <w:widowControl/>
        <w:shd w:val="clear" w:color="auto" w:fill="FFFFFF"/>
        <w:spacing w:before="90" w:after="90"/>
        <w:ind w:firstLine="420"/>
        <w:jc w:val="left"/>
        <w:rPr>
          <w:rFonts w:ascii="宋体" w:eastAsia="宋体" w:hAnsi="宋体" w:cs="宋体"/>
          <w:color w:val="333333"/>
          <w:kern w:val="0"/>
          <w:szCs w:val="21"/>
        </w:rPr>
      </w:pPr>
      <w:r w:rsidRPr="009E2A94">
        <w:rPr>
          <w:rFonts w:ascii="宋体" w:eastAsia="宋体" w:hAnsi="宋体" w:cs="宋体" w:hint="eastAsia"/>
          <w:color w:val="333333"/>
          <w:kern w:val="0"/>
          <w:szCs w:val="21"/>
        </w:rPr>
        <w:t>经查明，当事人存在以下违法事实：</w:t>
      </w:r>
    </w:p>
    <w:p w14:paraId="1516A687" w14:textId="77777777" w:rsidR="009E2A94" w:rsidRPr="009E2A94" w:rsidRDefault="009E2A94" w:rsidP="009E2A94">
      <w:pPr>
        <w:widowControl/>
        <w:shd w:val="clear" w:color="auto" w:fill="FFFFFF"/>
        <w:spacing w:before="90" w:after="90"/>
        <w:ind w:firstLine="420"/>
        <w:jc w:val="left"/>
        <w:rPr>
          <w:rFonts w:ascii="宋体" w:eastAsia="宋体" w:hAnsi="宋体" w:cs="宋体"/>
          <w:color w:val="333333"/>
          <w:kern w:val="0"/>
          <w:szCs w:val="21"/>
        </w:rPr>
      </w:pPr>
      <w:r w:rsidRPr="009E2A94">
        <w:rPr>
          <w:rFonts w:ascii="宋体" w:eastAsia="宋体" w:hAnsi="宋体" w:cs="宋体" w:hint="eastAsia"/>
          <w:color w:val="333333"/>
          <w:kern w:val="0"/>
          <w:szCs w:val="21"/>
        </w:rPr>
        <w:t>一、内幕信息的形成与公开过程</w:t>
      </w:r>
    </w:p>
    <w:p w14:paraId="20FF48A9" w14:textId="77777777" w:rsidR="009E2A94" w:rsidRPr="009E2A94" w:rsidRDefault="009E2A94" w:rsidP="009E2A94">
      <w:pPr>
        <w:widowControl/>
        <w:shd w:val="clear" w:color="auto" w:fill="FFFFFF"/>
        <w:spacing w:before="90" w:after="90"/>
        <w:ind w:firstLine="420"/>
        <w:jc w:val="left"/>
        <w:rPr>
          <w:rFonts w:ascii="宋体" w:eastAsia="宋体" w:hAnsi="宋体" w:cs="宋体"/>
          <w:color w:val="333333"/>
          <w:kern w:val="0"/>
          <w:szCs w:val="21"/>
        </w:rPr>
      </w:pPr>
      <w:r w:rsidRPr="009E2A94">
        <w:rPr>
          <w:rFonts w:ascii="宋体" w:eastAsia="宋体" w:hAnsi="宋体" w:cs="宋体" w:hint="eastAsia"/>
          <w:color w:val="333333"/>
          <w:kern w:val="0"/>
          <w:szCs w:val="21"/>
        </w:rPr>
        <w:t>2013年8月，黑牛食品股份有限公司（下称黑牛食品）与广东长兴生物科技股份有限公司（下称广东长兴）接触，商讨通过发行股份整体购买广东长兴资产的方式进行重组。8月28日，双方就资产估值、业绩承诺、收购支付方式等主要合作条件初步达成一致意见。</w:t>
      </w:r>
    </w:p>
    <w:p w14:paraId="7C933709" w14:textId="77777777" w:rsidR="009E2A94" w:rsidRPr="009E2A94" w:rsidRDefault="009E2A94" w:rsidP="009E2A94">
      <w:pPr>
        <w:widowControl/>
        <w:shd w:val="clear" w:color="auto" w:fill="FFFFFF"/>
        <w:spacing w:before="90" w:after="90"/>
        <w:ind w:firstLine="420"/>
        <w:jc w:val="left"/>
        <w:rPr>
          <w:rFonts w:ascii="宋体" w:eastAsia="宋体" w:hAnsi="宋体" w:cs="宋体"/>
          <w:color w:val="333333"/>
          <w:kern w:val="0"/>
          <w:szCs w:val="21"/>
        </w:rPr>
      </w:pPr>
      <w:r w:rsidRPr="009E2A94">
        <w:rPr>
          <w:rFonts w:ascii="宋体" w:eastAsia="宋体" w:hAnsi="宋体" w:cs="宋体" w:hint="eastAsia"/>
          <w:color w:val="333333"/>
          <w:kern w:val="0"/>
          <w:szCs w:val="21"/>
        </w:rPr>
        <w:t>8月30日至9月7日，黑牛食品与广东长兴继续就重组问题进行多次讨论。9月8日，双方签署投资意向协议，确定广东长兴标的估值、收购股权比例、股票支付比例、未来利润承诺等事项。</w:t>
      </w:r>
    </w:p>
    <w:p w14:paraId="36B34497" w14:textId="77777777" w:rsidR="009E2A94" w:rsidRPr="009E2A94" w:rsidRDefault="009E2A94" w:rsidP="009E2A94">
      <w:pPr>
        <w:widowControl/>
        <w:shd w:val="clear" w:color="auto" w:fill="FFFFFF"/>
        <w:spacing w:before="90" w:after="90"/>
        <w:ind w:firstLine="420"/>
        <w:jc w:val="left"/>
        <w:rPr>
          <w:rFonts w:ascii="宋体" w:eastAsia="宋体" w:hAnsi="宋体" w:cs="宋体"/>
          <w:color w:val="333333"/>
          <w:kern w:val="0"/>
          <w:szCs w:val="21"/>
        </w:rPr>
      </w:pPr>
      <w:r w:rsidRPr="009E2A94">
        <w:rPr>
          <w:rFonts w:ascii="宋体" w:eastAsia="宋体" w:hAnsi="宋体" w:cs="宋体" w:hint="eastAsia"/>
          <w:color w:val="333333"/>
          <w:kern w:val="0"/>
          <w:szCs w:val="21"/>
        </w:rPr>
        <w:t>9月9日下午开市，黑牛食品发布临时停牌公告，称公司拟披露重大事项。9月11日，黑牛食品发布重大事项停牌进展公告，称公司拟筹划购买资产的重大事项，公司股票继续停牌。</w:t>
      </w:r>
    </w:p>
    <w:p w14:paraId="165B1320" w14:textId="77777777" w:rsidR="009E2A94" w:rsidRPr="009E2A94" w:rsidRDefault="009E2A94" w:rsidP="009E2A94">
      <w:pPr>
        <w:widowControl/>
        <w:shd w:val="clear" w:color="auto" w:fill="FFFFFF"/>
        <w:spacing w:before="90" w:after="90"/>
        <w:ind w:firstLine="420"/>
        <w:jc w:val="left"/>
        <w:rPr>
          <w:rFonts w:ascii="宋体" w:eastAsia="宋体" w:hAnsi="宋体" w:cs="宋体"/>
          <w:color w:val="333333"/>
          <w:kern w:val="0"/>
          <w:szCs w:val="21"/>
        </w:rPr>
      </w:pPr>
      <w:r w:rsidRPr="009E2A94">
        <w:rPr>
          <w:rFonts w:ascii="宋体" w:eastAsia="宋体" w:hAnsi="宋体" w:cs="宋体" w:hint="eastAsia"/>
          <w:color w:val="333333"/>
          <w:kern w:val="0"/>
          <w:szCs w:val="21"/>
        </w:rPr>
        <w:t>二、当事人利用内幕信息交易“黑牛食品”股票的情况</w:t>
      </w:r>
    </w:p>
    <w:p w14:paraId="3EF963EE" w14:textId="77777777" w:rsidR="009E2A94" w:rsidRPr="009E2A94" w:rsidRDefault="009E2A94" w:rsidP="009E2A94">
      <w:pPr>
        <w:widowControl/>
        <w:shd w:val="clear" w:color="auto" w:fill="FFFFFF"/>
        <w:spacing w:before="90" w:after="90"/>
        <w:ind w:firstLine="420"/>
        <w:jc w:val="left"/>
        <w:rPr>
          <w:rFonts w:ascii="宋体" w:eastAsia="宋体" w:hAnsi="宋体" w:cs="宋体"/>
          <w:color w:val="333333"/>
          <w:kern w:val="0"/>
          <w:szCs w:val="21"/>
        </w:rPr>
      </w:pPr>
      <w:r w:rsidRPr="009E2A94">
        <w:rPr>
          <w:rFonts w:ascii="宋体" w:eastAsia="宋体" w:hAnsi="宋体" w:cs="宋体" w:hint="eastAsia"/>
          <w:color w:val="333333"/>
          <w:kern w:val="0"/>
          <w:szCs w:val="21"/>
        </w:rPr>
        <w:t>梁某时任广东长兴总经理，参与重组工作，不晚于2013年8月28日知悉本次重组事项的内幕信息。黄锦川与梁某是朋友关系，其在梁某办公室获知有关重组的内幕信息，并判断“黑牛食品”股价将会上涨。</w:t>
      </w:r>
    </w:p>
    <w:p w14:paraId="007B68DF" w14:textId="77777777" w:rsidR="009E2A94" w:rsidRPr="009E2A94" w:rsidRDefault="009E2A94" w:rsidP="009E2A94">
      <w:pPr>
        <w:widowControl/>
        <w:shd w:val="clear" w:color="auto" w:fill="FFFFFF"/>
        <w:spacing w:before="90" w:after="90"/>
        <w:ind w:firstLine="420"/>
        <w:jc w:val="left"/>
        <w:rPr>
          <w:rFonts w:ascii="宋体" w:eastAsia="宋体" w:hAnsi="宋体" w:cs="宋体"/>
          <w:color w:val="333333"/>
          <w:kern w:val="0"/>
          <w:szCs w:val="21"/>
        </w:rPr>
      </w:pPr>
      <w:r w:rsidRPr="009E2A94">
        <w:rPr>
          <w:rFonts w:ascii="宋体" w:eastAsia="宋体" w:hAnsi="宋体" w:cs="宋体" w:hint="eastAsia"/>
          <w:color w:val="333333"/>
          <w:kern w:val="0"/>
          <w:szCs w:val="21"/>
        </w:rPr>
        <w:t>2013年9月4日，黄锦川在知悉内幕信息的情况下，利用其控制的“蒋某林”、“黄某权”账户合计集中买入“黑牛食品”股票876,675股，成交金额7,482,775.02元。10月22日至10月30日，“蒋某林”、“黄某权”账户将所持“黑牛食品”股票全部卖出，共计亏损870,735.14元。</w:t>
      </w:r>
    </w:p>
    <w:p w14:paraId="1972EA76" w14:textId="77777777" w:rsidR="009E2A94" w:rsidRPr="009E2A94" w:rsidRDefault="009E2A94" w:rsidP="009E2A94">
      <w:pPr>
        <w:widowControl/>
        <w:shd w:val="clear" w:color="auto" w:fill="FFFFFF"/>
        <w:spacing w:before="90" w:after="90"/>
        <w:ind w:firstLine="420"/>
        <w:jc w:val="left"/>
        <w:rPr>
          <w:rFonts w:ascii="宋体" w:eastAsia="宋体" w:hAnsi="宋体" w:cs="宋体"/>
          <w:color w:val="333333"/>
          <w:kern w:val="0"/>
          <w:szCs w:val="21"/>
        </w:rPr>
      </w:pPr>
      <w:r w:rsidRPr="009E2A94">
        <w:rPr>
          <w:rFonts w:ascii="宋体" w:eastAsia="宋体" w:hAnsi="宋体" w:cs="宋体" w:hint="eastAsia"/>
          <w:color w:val="333333"/>
          <w:kern w:val="0"/>
          <w:szCs w:val="21"/>
        </w:rPr>
        <w:t>上述违法事实，有相关人员谈话笔录，相关协议、上市公司公告，相关电子邮件、通讯记录，相关银行及证券账户资料，相关手机及电脑IP和MAC地址、硬件信息等证据证明，足以认定。</w:t>
      </w:r>
    </w:p>
    <w:p w14:paraId="6899743A" w14:textId="77777777" w:rsidR="009E2A94" w:rsidRPr="009E2A94" w:rsidRDefault="009E2A94" w:rsidP="009E2A94">
      <w:pPr>
        <w:widowControl/>
        <w:shd w:val="clear" w:color="auto" w:fill="FFFFFF"/>
        <w:spacing w:before="90" w:after="90"/>
        <w:ind w:firstLine="420"/>
        <w:jc w:val="left"/>
        <w:rPr>
          <w:rFonts w:ascii="宋体" w:eastAsia="宋体" w:hAnsi="宋体" w:cs="宋体"/>
          <w:color w:val="333333"/>
          <w:kern w:val="0"/>
          <w:szCs w:val="21"/>
        </w:rPr>
      </w:pPr>
      <w:r w:rsidRPr="009E2A94">
        <w:rPr>
          <w:rFonts w:ascii="宋体" w:eastAsia="宋体" w:hAnsi="宋体" w:cs="宋体" w:hint="eastAsia"/>
          <w:color w:val="333333"/>
          <w:kern w:val="0"/>
          <w:szCs w:val="21"/>
        </w:rPr>
        <w:t>我局认为，黑牛食品的本次重组事项属于《证券法》第七十五条规定的内幕信息，内幕信息价格敏感期为</w:t>
      </w:r>
      <w:r w:rsidRPr="00C05FFF">
        <w:rPr>
          <w:rFonts w:ascii="宋体" w:eastAsia="宋体" w:hAnsi="宋体" w:cs="宋体" w:hint="eastAsia"/>
          <w:color w:val="333333"/>
          <w:kern w:val="0"/>
          <w:szCs w:val="21"/>
          <w:highlight w:val="yellow"/>
        </w:rPr>
        <w:t>2013年8月28日至9月9日</w:t>
      </w:r>
      <w:r w:rsidRPr="009E2A94">
        <w:rPr>
          <w:rFonts w:ascii="宋体" w:eastAsia="宋体" w:hAnsi="宋体" w:cs="宋体" w:hint="eastAsia"/>
          <w:color w:val="333333"/>
          <w:kern w:val="0"/>
          <w:szCs w:val="21"/>
        </w:rPr>
        <w:t>。黄锦川获悉内幕信息后，在内幕信息公开前交易“黑牛食品”股票，违反了《证券法》第七十三条、第七十六条的规定，构成了《证券法》第二百零二条所述的内幕交易违法行为。</w:t>
      </w:r>
    </w:p>
    <w:p w14:paraId="620CC5B9" w14:textId="77777777" w:rsidR="009E2A94" w:rsidRPr="009E2A94" w:rsidRDefault="009E2A94" w:rsidP="009E2A94">
      <w:pPr>
        <w:widowControl/>
        <w:shd w:val="clear" w:color="auto" w:fill="FFFFFF"/>
        <w:spacing w:before="90" w:after="90"/>
        <w:ind w:firstLine="420"/>
        <w:jc w:val="left"/>
        <w:rPr>
          <w:rFonts w:ascii="宋体" w:eastAsia="宋体" w:hAnsi="宋体" w:cs="宋体"/>
          <w:color w:val="333333"/>
          <w:kern w:val="0"/>
          <w:szCs w:val="21"/>
        </w:rPr>
      </w:pPr>
      <w:r w:rsidRPr="009E2A94">
        <w:rPr>
          <w:rFonts w:ascii="宋体" w:eastAsia="宋体" w:hAnsi="宋体" w:cs="宋体" w:hint="eastAsia"/>
          <w:color w:val="333333"/>
          <w:kern w:val="0"/>
          <w:szCs w:val="21"/>
        </w:rPr>
        <w:t>根据当事人的违法事实、性质、情节与社会危害程度，依据《证券法》第二百零二条的规定，我局决定：</w:t>
      </w:r>
    </w:p>
    <w:p w14:paraId="1F0A3AE7" w14:textId="77777777" w:rsidR="009E2A94" w:rsidRPr="009E2A94" w:rsidRDefault="009E2A94" w:rsidP="009E2A94">
      <w:pPr>
        <w:widowControl/>
        <w:shd w:val="clear" w:color="auto" w:fill="FFFFFF"/>
        <w:spacing w:before="90" w:after="90"/>
        <w:ind w:firstLine="420"/>
        <w:jc w:val="left"/>
        <w:rPr>
          <w:rFonts w:ascii="宋体" w:eastAsia="宋体" w:hAnsi="宋体" w:cs="宋体"/>
          <w:color w:val="333333"/>
          <w:kern w:val="0"/>
          <w:szCs w:val="21"/>
        </w:rPr>
      </w:pPr>
      <w:r w:rsidRPr="009E2A94">
        <w:rPr>
          <w:rFonts w:ascii="宋体" w:eastAsia="宋体" w:hAnsi="宋体" w:cs="宋体" w:hint="eastAsia"/>
          <w:color w:val="333333"/>
          <w:kern w:val="0"/>
          <w:szCs w:val="21"/>
        </w:rPr>
        <w:t>对黄锦川处以200,000元罚款。</w:t>
      </w:r>
    </w:p>
    <w:p w14:paraId="66826A96" w14:textId="77777777" w:rsidR="009E2A94" w:rsidRPr="009E2A94" w:rsidRDefault="009E2A94" w:rsidP="009E2A94">
      <w:pPr>
        <w:widowControl/>
        <w:shd w:val="clear" w:color="auto" w:fill="FFFFFF"/>
        <w:spacing w:before="90" w:after="90"/>
        <w:ind w:firstLine="420"/>
        <w:jc w:val="left"/>
        <w:rPr>
          <w:rFonts w:ascii="宋体" w:eastAsia="宋体" w:hAnsi="宋体" w:cs="宋体"/>
          <w:color w:val="333333"/>
          <w:kern w:val="0"/>
          <w:szCs w:val="21"/>
        </w:rPr>
      </w:pPr>
      <w:r w:rsidRPr="009E2A94">
        <w:rPr>
          <w:rFonts w:ascii="宋体" w:eastAsia="宋体" w:hAnsi="宋体" w:cs="宋体" w:hint="eastAsia"/>
          <w:color w:val="333333"/>
          <w:kern w:val="0"/>
          <w:szCs w:val="21"/>
        </w:rPr>
        <w:lastRenderedPageBreak/>
        <w:t>上述当事人应自收到本处罚决定书之日起15日内，将罚款汇交中国证券监督管理委员会（开户银行：中信银行总行营业部，账号7111010189800000162，由该行直接上缴国库），并将注有当事人名称的付款凭证复印件送中国证券监督管理委员会稽查局和我局备案。如对本处罚决定不服，可在收到本处罚决定书之日起60日内向中国证券监督管理委员会申请行政复议，也可以在收到本处罚决定书之日起3个月内直接向有管辖权的人民法院提起行政诉讼。复议和诉讼期间，上述决定不停止执行。</w:t>
      </w:r>
    </w:p>
    <w:p w14:paraId="343FDEF3" w14:textId="77777777" w:rsidR="009E2A94" w:rsidRPr="009E2A94" w:rsidRDefault="009E2A94" w:rsidP="009E2A94">
      <w:pPr>
        <w:widowControl/>
        <w:shd w:val="clear" w:color="auto" w:fill="FFFFFF"/>
        <w:spacing w:before="90" w:after="90"/>
        <w:ind w:firstLine="420"/>
        <w:jc w:val="left"/>
        <w:rPr>
          <w:rFonts w:ascii="宋体" w:eastAsia="宋体" w:hAnsi="宋体" w:cs="宋体"/>
          <w:color w:val="333333"/>
          <w:kern w:val="0"/>
          <w:szCs w:val="21"/>
        </w:rPr>
      </w:pPr>
      <w:r w:rsidRPr="009E2A94">
        <w:rPr>
          <w:rFonts w:ascii="宋体" w:eastAsia="宋体" w:hAnsi="宋体" w:cs="宋体" w:hint="eastAsia"/>
          <w:color w:val="333333"/>
          <w:kern w:val="0"/>
          <w:szCs w:val="21"/>
        </w:rPr>
        <w:t> </w:t>
      </w:r>
    </w:p>
    <w:p w14:paraId="1158DDAE" w14:textId="77777777" w:rsidR="009E2A94" w:rsidRPr="009E2A94" w:rsidRDefault="009E2A94" w:rsidP="009E2A94">
      <w:pPr>
        <w:widowControl/>
        <w:shd w:val="clear" w:color="auto" w:fill="FFFFFF"/>
        <w:spacing w:before="90" w:after="90"/>
        <w:ind w:firstLine="420"/>
        <w:jc w:val="left"/>
        <w:rPr>
          <w:rFonts w:ascii="宋体" w:eastAsia="宋体" w:hAnsi="宋体" w:cs="宋体"/>
          <w:color w:val="333333"/>
          <w:kern w:val="0"/>
          <w:szCs w:val="21"/>
        </w:rPr>
      </w:pPr>
      <w:r w:rsidRPr="009E2A94">
        <w:rPr>
          <w:rFonts w:ascii="宋体" w:eastAsia="宋体" w:hAnsi="宋体" w:cs="宋体" w:hint="eastAsia"/>
          <w:color w:val="333333"/>
          <w:kern w:val="0"/>
          <w:szCs w:val="21"/>
        </w:rPr>
        <w:t> </w:t>
      </w:r>
    </w:p>
    <w:p w14:paraId="193D280B" w14:textId="77777777" w:rsidR="009E2A94" w:rsidRPr="009E2A94" w:rsidRDefault="009E2A94" w:rsidP="009E2A94">
      <w:pPr>
        <w:widowControl/>
        <w:shd w:val="clear" w:color="auto" w:fill="FFFFFF"/>
        <w:spacing w:before="90" w:after="90"/>
        <w:ind w:firstLine="420"/>
        <w:jc w:val="left"/>
        <w:rPr>
          <w:rFonts w:ascii="宋体" w:eastAsia="宋体" w:hAnsi="宋体" w:cs="宋体"/>
          <w:color w:val="333333"/>
          <w:kern w:val="0"/>
          <w:szCs w:val="21"/>
        </w:rPr>
      </w:pPr>
      <w:r w:rsidRPr="009E2A94">
        <w:rPr>
          <w:rFonts w:ascii="宋体" w:eastAsia="宋体" w:hAnsi="宋体" w:cs="宋体" w:hint="eastAsia"/>
          <w:color w:val="333333"/>
          <w:kern w:val="0"/>
          <w:szCs w:val="21"/>
        </w:rPr>
        <w:t> </w:t>
      </w:r>
    </w:p>
    <w:p w14:paraId="5A35DA94" w14:textId="77777777" w:rsidR="009E2A94" w:rsidRPr="009E2A94" w:rsidRDefault="009E2A94" w:rsidP="009E2A94">
      <w:pPr>
        <w:widowControl/>
        <w:shd w:val="clear" w:color="auto" w:fill="FFFFFF"/>
        <w:spacing w:before="90" w:after="90"/>
        <w:ind w:firstLine="420"/>
        <w:jc w:val="left"/>
        <w:rPr>
          <w:rFonts w:ascii="宋体" w:eastAsia="宋体" w:hAnsi="宋体" w:cs="宋体"/>
          <w:color w:val="333333"/>
          <w:kern w:val="0"/>
          <w:szCs w:val="21"/>
        </w:rPr>
      </w:pPr>
      <w:r w:rsidRPr="009E2A94">
        <w:rPr>
          <w:rFonts w:ascii="宋体" w:eastAsia="宋体" w:hAnsi="宋体" w:cs="宋体" w:hint="eastAsia"/>
          <w:color w:val="333333"/>
          <w:kern w:val="0"/>
          <w:szCs w:val="21"/>
        </w:rPr>
        <w:t> </w:t>
      </w:r>
    </w:p>
    <w:p w14:paraId="5F0F3C86" w14:textId="77777777" w:rsidR="009E2A94" w:rsidRPr="009E2A94" w:rsidRDefault="009E2A94" w:rsidP="009E2A94">
      <w:pPr>
        <w:widowControl/>
        <w:shd w:val="clear" w:color="auto" w:fill="FFFFFF"/>
        <w:spacing w:before="90" w:after="90"/>
        <w:ind w:firstLine="420"/>
        <w:jc w:val="left"/>
        <w:rPr>
          <w:rFonts w:ascii="宋体" w:eastAsia="宋体" w:hAnsi="宋体" w:cs="宋体"/>
          <w:color w:val="333333"/>
          <w:kern w:val="0"/>
          <w:szCs w:val="21"/>
        </w:rPr>
      </w:pPr>
      <w:r w:rsidRPr="009E2A94">
        <w:rPr>
          <w:rFonts w:ascii="宋体" w:eastAsia="宋体" w:hAnsi="宋体" w:cs="宋体" w:hint="eastAsia"/>
          <w:color w:val="333333"/>
          <w:kern w:val="0"/>
          <w:szCs w:val="21"/>
        </w:rPr>
        <w:t xml:space="preserve">　　　　　　　　　　　　　　　　　　　　　　　　　　　　　　　　　　　　　　　  广东证监局</w:t>
      </w:r>
    </w:p>
    <w:p w14:paraId="6691DBEF" w14:textId="77777777" w:rsidR="009E2A94" w:rsidRPr="009E2A94" w:rsidRDefault="009E2A94" w:rsidP="009E2A94">
      <w:pPr>
        <w:widowControl/>
        <w:shd w:val="clear" w:color="auto" w:fill="FFFFFF"/>
        <w:spacing w:before="90"/>
        <w:ind w:firstLine="420"/>
        <w:jc w:val="left"/>
        <w:rPr>
          <w:rFonts w:ascii="宋体" w:eastAsia="宋体" w:hAnsi="宋体" w:cs="宋体"/>
          <w:color w:val="333333"/>
          <w:kern w:val="0"/>
          <w:szCs w:val="21"/>
        </w:rPr>
      </w:pPr>
      <w:r w:rsidRPr="009E2A94">
        <w:rPr>
          <w:rFonts w:ascii="宋体" w:eastAsia="宋体" w:hAnsi="宋体" w:cs="宋体" w:hint="eastAsia"/>
          <w:color w:val="333333"/>
          <w:kern w:val="0"/>
          <w:szCs w:val="21"/>
        </w:rPr>
        <w:t xml:space="preserve">　　　　　　　　　　　　　　　　　　　　　　　　　　　　　　　　　　　　　　  2014年10月30日</w:t>
      </w:r>
    </w:p>
    <w:p w14:paraId="52651C7E" w14:textId="77777777" w:rsidR="005B683F" w:rsidRDefault="005B683F"/>
    <w:sectPr w:rsidR="005B683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FA491" w14:textId="77777777" w:rsidR="00482C11" w:rsidRDefault="00482C11" w:rsidP="00C05FFF">
      <w:r>
        <w:separator/>
      </w:r>
    </w:p>
  </w:endnote>
  <w:endnote w:type="continuationSeparator" w:id="0">
    <w:p w14:paraId="1AAC29E8" w14:textId="77777777" w:rsidR="00482C11" w:rsidRDefault="00482C11" w:rsidP="00C05F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BCF2DD" w14:textId="77777777" w:rsidR="00482C11" w:rsidRDefault="00482C11" w:rsidP="00C05FFF">
      <w:r>
        <w:separator/>
      </w:r>
    </w:p>
  </w:footnote>
  <w:footnote w:type="continuationSeparator" w:id="0">
    <w:p w14:paraId="09BB8CC5" w14:textId="77777777" w:rsidR="00482C11" w:rsidRDefault="00482C11" w:rsidP="00C05FF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2A94"/>
    <w:rsid w:val="00482C11"/>
    <w:rsid w:val="005B683F"/>
    <w:rsid w:val="009E2A94"/>
    <w:rsid w:val="00C05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1409A"/>
  <w15:chartTrackingRefBased/>
  <w15:docId w15:val="{26D4B1E7-9151-4A9E-A9CE-52A3EF114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E2A94"/>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a5"/>
    <w:uiPriority w:val="99"/>
    <w:unhideWhenUsed/>
    <w:rsid w:val="00C05FFF"/>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05FFF"/>
    <w:rPr>
      <w:sz w:val="18"/>
      <w:szCs w:val="18"/>
    </w:rPr>
  </w:style>
  <w:style w:type="paragraph" w:styleId="a6">
    <w:name w:val="footer"/>
    <w:basedOn w:val="a"/>
    <w:link w:val="a7"/>
    <w:uiPriority w:val="99"/>
    <w:unhideWhenUsed/>
    <w:rsid w:val="00C05FFF"/>
    <w:pPr>
      <w:tabs>
        <w:tab w:val="center" w:pos="4153"/>
        <w:tab w:val="right" w:pos="8306"/>
      </w:tabs>
      <w:snapToGrid w:val="0"/>
      <w:jc w:val="left"/>
    </w:pPr>
    <w:rPr>
      <w:sz w:val="18"/>
      <w:szCs w:val="18"/>
    </w:rPr>
  </w:style>
  <w:style w:type="character" w:customStyle="1" w:styleId="a7">
    <w:name w:val="页脚 字符"/>
    <w:basedOn w:val="a0"/>
    <w:link w:val="a6"/>
    <w:uiPriority w:val="99"/>
    <w:rsid w:val="00C05FF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217094">
      <w:bodyDiv w:val="1"/>
      <w:marLeft w:val="0"/>
      <w:marRight w:val="0"/>
      <w:marTop w:val="0"/>
      <w:marBottom w:val="0"/>
      <w:divBdr>
        <w:top w:val="none" w:sz="0" w:space="0" w:color="auto"/>
        <w:left w:val="none" w:sz="0" w:space="0" w:color="auto"/>
        <w:bottom w:val="none" w:sz="0" w:space="0" w:color="auto"/>
        <w:right w:val="none" w:sz="0" w:space="0" w:color="auto"/>
      </w:divBdr>
      <w:divsChild>
        <w:div w:id="857158000">
          <w:marLeft w:val="0"/>
          <w:marRight w:val="0"/>
          <w:marTop w:val="0"/>
          <w:marBottom w:val="0"/>
          <w:divBdr>
            <w:top w:val="none" w:sz="0" w:space="23" w:color="auto"/>
            <w:left w:val="none" w:sz="0" w:space="31" w:color="auto"/>
            <w:bottom w:val="single" w:sz="12" w:space="11" w:color="CCCCCC"/>
            <w:right w:val="none" w:sz="0" w:space="31" w:color="auto"/>
          </w:divBdr>
        </w:div>
        <w:div w:id="785201311">
          <w:marLeft w:val="0"/>
          <w:marRight w:val="0"/>
          <w:marTop w:val="0"/>
          <w:marBottom w:val="300"/>
          <w:divBdr>
            <w:top w:val="none" w:sz="0" w:space="0" w:color="auto"/>
            <w:left w:val="none" w:sz="0" w:space="0" w:color="auto"/>
            <w:bottom w:val="none" w:sz="0" w:space="0" w:color="auto"/>
            <w:right w:val="none" w:sz="0" w:space="0" w:color="auto"/>
          </w:divBdr>
        </w:div>
        <w:div w:id="2025132685">
          <w:marLeft w:val="0"/>
          <w:marRight w:val="0"/>
          <w:marTop w:val="90"/>
          <w:marBottom w:val="90"/>
          <w:divBdr>
            <w:top w:val="none" w:sz="0" w:space="0" w:color="auto"/>
            <w:left w:val="none" w:sz="0" w:space="0" w:color="auto"/>
            <w:bottom w:val="none" w:sz="0" w:space="0" w:color="auto"/>
            <w:right w:val="none" w:sz="0" w:space="0" w:color="auto"/>
          </w:divBdr>
          <w:divsChild>
            <w:div w:id="1083457577">
              <w:marLeft w:val="0"/>
              <w:marRight w:val="0"/>
              <w:marTop w:val="90"/>
              <w:marBottom w:val="9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212</Words>
  <Characters>1215</Characters>
  <Application>Microsoft Office Word</Application>
  <DocSecurity>0</DocSecurity>
  <Lines>10</Lines>
  <Paragraphs>2</Paragraphs>
  <ScaleCrop>false</ScaleCrop>
  <Company/>
  <LinksUpToDate>false</LinksUpToDate>
  <CharactersWithSpaces>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2</cp:revision>
  <dcterms:created xsi:type="dcterms:W3CDTF">2021-09-27T07:59:00Z</dcterms:created>
  <dcterms:modified xsi:type="dcterms:W3CDTF">2021-09-27T15:01:00Z</dcterms:modified>
</cp:coreProperties>
</file>