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9E4C" w14:textId="77777777" w:rsidR="00C761C3" w:rsidRPr="00C761C3" w:rsidRDefault="00C761C3" w:rsidP="00C761C3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C761C3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中国证券监督管理委员会广东监管局行政处罚决定书〔2018〕6号（朱康军）</w:t>
      </w:r>
    </w:p>
    <w:p w14:paraId="5CD6B654" w14:textId="77777777" w:rsidR="00C761C3" w:rsidRPr="00C761C3" w:rsidRDefault="00C761C3" w:rsidP="00C761C3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C761C3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时间：2018-04-23 来源：</w:t>
      </w:r>
    </w:p>
    <w:p w14:paraId="341DA3EF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7026E57B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〔2018〕6号</w:t>
      </w:r>
    </w:p>
    <w:p w14:paraId="1F3EA1D6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0D355D9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当事人：朱康军，男，1968年11月出生，住址：浙江省杭州市。</w:t>
      </w:r>
    </w:p>
    <w:p w14:paraId="06914E23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依据《中华人民共和国证券法》（以下简称《证券法》）的有关规定，我局对朱康军内幕交易广东超华科技股份有限公司（以下简称超华科技）股票行为进行了立案调查、审理，并依法向当事人告知了</w:t>
      </w:r>
      <w:proofErr w:type="gramStart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行政处罚的事实、理由、依据及当事人依法享有的权利。当事人未提出陈述、申辩意见，也未要求听证。本案现已调查、审理终结。</w:t>
      </w:r>
    </w:p>
    <w:p w14:paraId="0F6F4233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经查明，朱康军存在以下违法事实：</w:t>
      </w:r>
    </w:p>
    <w:p w14:paraId="3A4B5BD2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780E5117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2015年8月15日，超华科技发布关于对深圳市贝尔信智能系统有限公司（以下简称贝尔信）投资的公告，拟以自有资金1.8亿元对贝尔信进行增资，增资完成后占贝尔信20%股权。如贝尔信2015年</w:t>
      </w:r>
      <w:proofErr w:type="gramStart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实际净</w:t>
      </w:r>
      <w:proofErr w:type="gramEnd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利润达到6,000万元或未达到承诺利润但控股股东完成业绩补偿义务后，各方可进一步协商收购贝尔信剩余股份的事宜。</w:t>
      </w:r>
    </w:p>
    <w:p w14:paraId="5849DC56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2015年10月，超华科技副总裁、董秘范某联系安信证券朱某，告知其超华科技可能有个再融资项目，询问其有无意向。朱某将该项目介绍给本公司的张某慧。10月29日，安信证券张某慧、赵某等人到超华科技深圳办公室拜访了</w:t>
      </w:r>
      <w:r w:rsidRPr="00773AE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超华科技董事长梁某某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和范某，争取承揽该项目，并了解到超华科技本次拟收购标的为贝尔信。</w:t>
      </w:r>
    </w:p>
    <w:p w14:paraId="2496A82F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2015年11月9日，范某给贝尔</w:t>
      </w:r>
      <w:proofErr w:type="gramStart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信董秘</w:t>
      </w:r>
      <w:proofErr w:type="gramEnd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孙某某、赵某等人发邮件，通知公司再融资项目的启动会议于11月16日举行。11月16日，超华科技、贝尔信、安信证券等单位人员在超华科技深圳办公室召开会议，启动超华科技再融资收购贝尔信全部股权项目。随后，安信证券人员进场工作。</w:t>
      </w:r>
    </w:p>
    <w:p w14:paraId="42BEDDDA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收购事项办理过程中，超华科技、贝尔信更换了主办券商。2015年11月20日，安信证券现场人员从超华科技撤场。2016年1月15日上午，广州证券</w:t>
      </w:r>
      <w:proofErr w:type="gramStart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张某芳等人</w:t>
      </w:r>
      <w:proofErr w:type="gramEnd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在超华科技深圳办公室，向梁某某、范某等就印制电路板（PCB）行业和超华科技发展情况等进行分析介绍。1月18日，超华科技梁某某、范某与贝尔信董事长、总经理郑某某及孙某某等在超华科技深圳办公室召开会议，广州证券王某某、张某芳等人参加。</w:t>
      </w:r>
    </w:p>
    <w:p w14:paraId="2F51D8AD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2016年1月27日中午，超华科技临时停牌。广州证券人员进场工作。1月28日，超华科技发布《重大事项停牌公告》，称公司正在筹划重大事项，停牌期间将积极推动在智慧城市领域进行项目收购。5月27日，超华科技复牌。</w:t>
      </w:r>
    </w:p>
    <w:p w14:paraId="71F22E93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综上，超华科技拟收购贝尔信80%股权事项，属于《证券法》第六十七条第二款第（二）项规定的“公司的重大投资行为和重大的购置财产的决定”，构成第七十五条第二款第（一）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项规定的内幕信息，内幕信息价格敏感期为</w:t>
      </w:r>
      <w:r w:rsidRPr="00773AE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2015年10月29日至2016年1月27日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，梁某某为内幕信息知情人，不晚于2015年10月29日知悉内幕信息。 </w:t>
      </w:r>
    </w:p>
    <w:p w14:paraId="72F1B369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二、朱康军内幕交易“超华科技”情况</w:t>
      </w:r>
    </w:p>
    <w:p w14:paraId="3D7CC6A5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（一）账户交易情况</w:t>
      </w:r>
    </w:p>
    <w:p w14:paraId="76DD7963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　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“王某某”证券账户于2016年1月26日开立。2016年1月27日，“王某某”账户买入“超华科技”股票2,677,799股，成交金额22,980,146.92元。</w:t>
      </w:r>
    </w:p>
    <w:p w14:paraId="2986B5D0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 xml:space="preserve">　“齐某某”证券账户于2014年8月21日开立。2015年11月10日至2016年1月21日，“齐某某”账户买入“超华科技”股票7,752,876股，成交金额86,570,516.23元。2015年11月11日至2016年1月20日，卖出“超华科技”股票4,054,176股，成交金额42,019,419.71元。</w:t>
      </w:r>
    </w:p>
    <w:p w14:paraId="2FF9C74D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 xml:space="preserve">　经计算，截至2017年8月，上述账户在内幕信息敏感期内买入的“超华科技”股票已清空，共计亏损2,925,070.87元。</w:t>
      </w:r>
    </w:p>
    <w:p w14:paraId="1C5FAD8A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　（二）账户交易决策及实际操作人情况</w:t>
      </w:r>
    </w:p>
    <w:p w14:paraId="1D91556F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 xml:space="preserve">　朱康军实际控制使用“王某某”、“齐某某”账户，</w:t>
      </w:r>
      <w:proofErr w:type="gramStart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并决策</w:t>
      </w:r>
      <w:proofErr w:type="gramEnd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交易“超华科技”股票。“王某某”账户是朱康军借用的配资账户，齐某某是朱康军岳母。</w:t>
      </w:r>
    </w:p>
    <w:p w14:paraId="6B87560B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（三）账户资金情况</w:t>
      </w:r>
    </w:p>
    <w:p w14:paraId="41FCD237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  “王某某”账户对应对三方存管同名银行账户资金主要来源于</w:t>
      </w:r>
      <w:proofErr w:type="gramStart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王某良转账</w:t>
      </w:r>
      <w:proofErr w:type="gramEnd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存入的3,000万元和朱康军利用祝某某账户转账存入的800万元。</w:t>
      </w:r>
      <w:proofErr w:type="gramStart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王某良与</w:t>
      </w:r>
      <w:proofErr w:type="gramEnd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王某某是叔侄关系，其将资金连同“王某某”账户交予卢某某，再由卢某某交予朱康军使用，</w:t>
      </w:r>
      <w:proofErr w:type="gramStart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王某良收取</w:t>
      </w:r>
      <w:proofErr w:type="gramEnd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固定利息。</w:t>
      </w:r>
    </w:p>
    <w:p w14:paraId="1B196951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  “齐某某”账户对应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的三方存管同名银行账户资金主要往来方为朱康军妻子李某某，其中2014年9月10日转账存入65万元，2014年10月8日转账存入2,595万元。</w:t>
      </w:r>
    </w:p>
    <w:p w14:paraId="38E9FA07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（四）当事人联络、接触情况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14:paraId="0329C1D4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朱康军与</w:t>
      </w:r>
      <w:r w:rsidRPr="00773AE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内幕信息知情人梁某某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在内幕信息敏感期内有23次电话联系。梁某某称，朱康军因交易“超华科技”股票亏损，所以通过一个朋友联系上他，向其了解公司情况，通话就是闲聊。朱康军称其从朋友那里得到了梁某某的电话，就主动电话联系了梁某某，但没有见过面，通话主要是闲聊，并想通过梁</w:t>
      </w:r>
      <w:proofErr w:type="gramStart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某某认识</w:t>
      </w:r>
      <w:proofErr w:type="gramEnd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一些人，在“超华科技”股价跌了的时候曾打电话问过梁某某为什么股价老是跌。</w:t>
      </w:r>
    </w:p>
    <w:p w14:paraId="73FD88FA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（五）交易动机及特征</w:t>
      </w:r>
    </w:p>
    <w:p w14:paraId="607CCA0B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朱康军称，其使用“齐某某”账户在2015年9月份买入“超华科技”股票，当时看到“超华科技”跌了很多，就想买点做个短线，到了12月份的时候发现涨的厉害，就开始大量买入，买入后股价开始跌，股市又熔断，跌的很厉害，到2016年1月份的时候，就通过“王某某”的账户补仓买入。</w:t>
      </w:r>
    </w:p>
    <w:p w14:paraId="2E5FF611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朱康军控</w:t>
      </w:r>
      <w:proofErr w:type="gramStart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制使用</w:t>
      </w:r>
      <w:proofErr w:type="gramEnd"/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“齐某某”、“王某某”账户在2015年11月10日至2016年1月21日期间，持续买入“超华科技”股票，交易金额、股数明显放大。“王某某”账户在内幕信息敏感期内开立，次日即集中资金</w:t>
      </w: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放量买入</w:t>
      </w:r>
      <w:r w:rsidRPr="00C761C3">
        <w:rPr>
          <w:rFonts w:ascii="宋体" w:eastAsia="宋体" w:hAnsi="宋体" w:cs="宋体" w:hint="eastAsia"/>
          <w:color w:val="000000"/>
          <w:kern w:val="0"/>
          <w:szCs w:val="21"/>
        </w:rPr>
        <w:t>“超华科技”股票。朱康军使用相关账户交易“超华科技”股票的时点与超华科技筹划收购贝尔信剩余股权事项信息形成、变化过程较为吻合。</w:t>
      </w:r>
    </w:p>
    <w:p w14:paraId="326FBD7F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以上事实，有相关公告、相关人员谈话笔录、银行及证券账户资料等证据证明，足以认定。</w:t>
      </w:r>
    </w:p>
    <w:p w14:paraId="03C58A61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我局认为，超华科技拟收购贝尔信80%股权事项的相关信息属于《证券法》第七十五条规定的内幕信息，内幕信息价格敏感期为2015年10月29日至2016年1月27日。朱康军在内幕信息敏感期内与内幕信息知情人梁某某频繁联络，使用相关账户集中交易“超华科技”股票，交易金额巨大，交易行为明显异常。朱康军的上述行为违反了《证券法》第七十三条、第七十六条第一款的规定，构成《证券法》第二百零二条所述的内幕交易违法行为。</w:t>
      </w:r>
    </w:p>
    <w:p w14:paraId="4C5A6B87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根据当事人违法行为的事实、性质、情节与社会危害程度，依据《证券法》第二百零二条的规定，我局决定：</w:t>
      </w:r>
    </w:p>
    <w:p w14:paraId="43DBEE0A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对朱康军处以60万元罚款。</w:t>
      </w:r>
    </w:p>
    <w:p w14:paraId="6747C0DC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 上述当事人应自收到本处罚决定书之日起15日内，将罚款汇交中国证券监督管理委员会（财政</w:t>
      </w:r>
      <w:proofErr w:type="gramStart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总行营业部，账号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46BE9FD9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A071F33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E44B96D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　　　　　　　 广东证监局</w:t>
      </w:r>
    </w:p>
    <w:p w14:paraId="4D8A5287" w14:textId="77777777" w:rsidR="00C761C3" w:rsidRPr="00C761C3" w:rsidRDefault="00C761C3" w:rsidP="00C761C3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761C3">
        <w:rPr>
          <w:rFonts w:ascii="宋体" w:eastAsia="宋体" w:hAnsi="宋体" w:cs="宋体" w:hint="eastAsia"/>
          <w:color w:val="333333"/>
          <w:spacing w:val="10"/>
          <w:kern w:val="0"/>
          <w:szCs w:val="21"/>
        </w:rPr>
        <w:t xml:space="preserve">　　　　　　　　　　　　　　　　　　　　　　　　　　　　　　　　　　　　　　　　　　　　　　　　  2018年4月18日</w:t>
      </w:r>
    </w:p>
    <w:p w14:paraId="4188E2FC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0FFD" w14:textId="77777777" w:rsidR="00DB4C70" w:rsidRDefault="00DB4C70" w:rsidP="00773AEF">
      <w:r>
        <w:separator/>
      </w:r>
    </w:p>
  </w:endnote>
  <w:endnote w:type="continuationSeparator" w:id="0">
    <w:p w14:paraId="15096D98" w14:textId="77777777" w:rsidR="00DB4C70" w:rsidRDefault="00DB4C70" w:rsidP="0077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B62C" w14:textId="77777777" w:rsidR="00DB4C70" w:rsidRDefault="00DB4C70" w:rsidP="00773AEF">
      <w:r>
        <w:separator/>
      </w:r>
    </w:p>
  </w:footnote>
  <w:footnote w:type="continuationSeparator" w:id="0">
    <w:p w14:paraId="06FF9818" w14:textId="77777777" w:rsidR="00DB4C70" w:rsidRDefault="00DB4C70" w:rsidP="00773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C3"/>
    <w:rsid w:val="002174C9"/>
    <w:rsid w:val="005B683F"/>
    <w:rsid w:val="00773AEF"/>
    <w:rsid w:val="00C761C3"/>
    <w:rsid w:val="00D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6AFA1"/>
  <w15:chartTrackingRefBased/>
  <w15:docId w15:val="{922C9A59-78AF-4F01-93F9-8E6FE647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73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3A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3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3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95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616212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2021-09-27T08:59:00Z</dcterms:created>
  <dcterms:modified xsi:type="dcterms:W3CDTF">2021-09-28T14:46:00Z</dcterms:modified>
</cp:coreProperties>
</file>