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0C5A" w14:textId="77777777" w:rsidR="0042092C" w:rsidRPr="0042092C" w:rsidRDefault="0042092C" w:rsidP="0042092C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42092C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中国证券监督管理委员会广东监管局行政处罚决定书〔2018〕9号（李培尚）</w:t>
      </w:r>
    </w:p>
    <w:p w14:paraId="0FE3C798" w14:textId="77777777" w:rsidR="0042092C" w:rsidRPr="0042092C" w:rsidRDefault="0042092C" w:rsidP="0042092C">
      <w:pPr>
        <w:widowControl/>
        <w:shd w:val="clear" w:color="auto" w:fill="FFFFFF"/>
        <w:jc w:val="center"/>
        <w:rPr>
          <w:rFonts w:ascii="宋体" w:eastAsia="宋体" w:hAnsi="宋体" w:cs="宋体"/>
          <w:color w:val="888888"/>
          <w:kern w:val="0"/>
          <w:sz w:val="18"/>
          <w:szCs w:val="18"/>
        </w:rPr>
      </w:pPr>
      <w:r w:rsidRPr="0042092C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时间：2018-05-04 来源：</w:t>
      </w:r>
    </w:p>
    <w:p w14:paraId="306CBF1A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中国证券监督管理委员会广东监管局行政处罚决定书</w:t>
      </w:r>
    </w:p>
    <w:p w14:paraId="56EC1AB7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333333"/>
          <w:spacing w:val="12"/>
          <w:kern w:val="0"/>
          <w:szCs w:val="21"/>
        </w:rPr>
        <w:t>〔2018〕9号</w:t>
      </w:r>
    </w:p>
    <w:p w14:paraId="3AC9C941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20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6A3A963B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  当事人：李培尚，男，1975年5月出生，住址：北京市朝阳区。</w:t>
      </w:r>
    </w:p>
    <w:p w14:paraId="64A24A8B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  依据《中华人民共和国证券法》（以下简称《证券法》）的有关规定，我局对</w:t>
      </w:r>
      <w:proofErr w:type="gramStart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李培尚内幕</w:t>
      </w:r>
      <w:proofErr w:type="gramEnd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交易珠海和</w:t>
      </w:r>
      <w:proofErr w:type="gramStart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佳医疗</w:t>
      </w:r>
      <w:proofErr w:type="gramEnd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设备股份有限公司（以下简称和</w:t>
      </w:r>
      <w:proofErr w:type="gramStart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佳股份</w:t>
      </w:r>
      <w:proofErr w:type="gramEnd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）股票行为进行了立案调查、审理，并依法向当事人告知了</w:t>
      </w:r>
      <w:proofErr w:type="gramStart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行政处罚的事实、理由、依据及当事人依法享有的权利。当事人未提出陈述、申辩意见，也未要求听证。本案现已调查、审理终结。</w:t>
      </w:r>
    </w:p>
    <w:p w14:paraId="4112B307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  经查明，</w:t>
      </w:r>
      <w:proofErr w:type="gramStart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李培尚存在</w:t>
      </w:r>
      <w:proofErr w:type="gramEnd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以下违法事实：</w:t>
      </w:r>
    </w:p>
    <w:p w14:paraId="056AE90A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一、内幕信息的形成与公开过程</w:t>
      </w:r>
    </w:p>
    <w:p w14:paraId="717AE1C6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2015年4、5月份，</w:t>
      </w:r>
      <w:r w:rsidRPr="00963E5E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上海致新医疗供应链管理有限公司（以下简称致新医疗）总裁刘某</w:t>
      </w:r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开始考虑与上市公司开展合作事宜。2016年6月，经朱某介绍，刘某初次接触和</w:t>
      </w:r>
      <w:proofErr w:type="gramStart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佳股份</w:t>
      </w:r>
      <w:proofErr w:type="gramEnd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。2016年6月22日，刘某与</w:t>
      </w:r>
      <w:r w:rsidRPr="00963E5E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致新医疗董事、副总裁曹某</w:t>
      </w:r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及朱某前往珠海与和</w:t>
      </w:r>
      <w:proofErr w:type="gramStart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佳股份</w:t>
      </w:r>
      <w:proofErr w:type="gramEnd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董事长郝某接洽，双方对合作的条件和价格基本达成一致，和</w:t>
      </w:r>
      <w:proofErr w:type="gramStart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佳股份</w:t>
      </w:r>
      <w:proofErr w:type="gramEnd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拟以发行股份和支付现金的方式收购致新医疗100%股权，作价22亿元。</w:t>
      </w:r>
    </w:p>
    <w:p w14:paraId="12344B2A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2016年7月28日，</w:t>
      </w:r>
      <w:proofErr w:type="gramStart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郝某到致新</w:t>
      </w:r>
      <w:proofErr w:type="gramEnd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医疗北京运营总部，刘某、曹某、致新医疗时任监事杨某在公司会议室与郝某见面。双方对并购重组具体细节进行探讨，确定合作。</w:t>
      </w:r>
    </w:p>
    <w:p w14:paraId="7B3442D3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2016年8月10日，刘某和朱某、国金证券陆某等在上海见面沟通和</w:t>
      </w:r>
      <w:proofErr w:type="gramStart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佳股份</w:t>
      </w:r>
      <w:proofErr w:type="gramEnd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收购致新医疗项目。</w:t>
      </w:r>
    </w:p>
    <w:p w14:paraId="1EF49E2D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 xml:space="preserve">　  2016年8月15日至19日，刘某、曹某、陆某等人一起在致新医疗北京公司开展尽职调查。</w:t>
      </w:r>
    </w:p>
    <w:p w14:paraId="2964F233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2016年8月22日，刘某、曹某、陆某等人前往珠海，准备参加第一次中介协调会。8月23日、9月2日，刘某、曹某、朱某、陆某等在和</w:t>
      </w:r>
      <w:proofErr w:type="gramStart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佳股份</w:t>
      </w:r>
      <w:proofErr w:type="gramEnd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参加了两次中介机构协调会。</w:t>
      </w:r>
    </w:p>
    <w:p w14:paraId="20AC5DCE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  2016年9月7日，和</w:t>
      </w:r>
      <w:proofErr w:type="gramStart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佳股份</w:t>
      </w:r>
      <w:proofErr w:type="gramEnd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发布《重大事项停牌公告》，公司股票自9月8日起停牌。</w:t>
      </w:r>
    </w:p>
    <w:p w14:paraId="0F97620F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综上，和</w:t>
      </w:r>
      <w:proofErr w:type="gramStart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佳股份</w:t>
      </w:r>
      <w:proofErr w:type="gramEnd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拟收购致新医疗100%股权事项，属于《证券法》第六十七条第二款第（二）项规定的“公司的重大投资行为和重大的购置财产的决定”，构成第七十五条第二款第（一）项规定的内幕信息，内幕信息价格敏感期为2016年6月22日至9月7日，刘某、曹某为内幕信息知情人，不晚于2016年6月22日知悉内幕信息。 </w:t>
      </w:r>
    </w:p>
    <w:p w14:paraId="3D999218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二、李培尚内幕交易“和佳股份”情况</w:t>
      </w:r>
    </w:p>
    <w:p w14:paraId="478688D9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 （一）账户交易情况</w:t>
      </w:r>
    </w:p>
    <w:p w14:paraId="0F3CB66A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  “李培尚”普通资金账户于</w:t>
      </w:r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2010年11月9日</w:t>
      </w:r>
      <w:r w:rsidRPr="0042092C">
        <w:rPr>
          <w:rFonts w:ascii="宋体" w:eastAsia="宋体" w:hAnsi="宋体" w:cs="宋体" w:hint="eastAsia"/>
          <w:color w:val="000000"/>
          <w:kern w:val="0"/>
          <w:szCs w:val="21"/>
        </w:rPr>
        <w:t>开立、信用账户于2015年4月14日开立。“李培尚”信用账户自2016年8月22日至31日，共买入“和佳股份”296,000股，成交金额5,799,571元；9月7日下午接近收市时，卖出284,938股，成交金额5,705,971.62元。</w:t>
      </w:r>
    </w:p>
    <w:p w14:paraId="272EC239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640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000000"/>
          <w:kern w:val="0"/>
          <w:szCs w:val="21"/>
        </w:rPr>
        <w:t>“邓某”普通资金账户于</w:t>
      </w:r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2007年6月11日</w:t>
      </w:r>
      <w:r w:rsidRPr="0042092C">
        <w:rPr>
          <w:rFonts w:ascii="宋体" w:eastAsia="宋体" w:hAnsi="宋体" w:cs="宋体" w:hint="eastAsia"/>
          <w:color w:val="000000"/>
          <w:kern w:val="0"/>
          <w:szCs w:val="21"/>
        </w:rPr>
        <w:t>开立，于2016年8月19日买入“和佳股份”281,700股、8月26日买入400股，成交金额5,694,675元；9月7日下午接近收市时，卖出282,100股，成交金额5,722,768.61元。</w:t>
      </w:r>
    </w:p>
    <w:p w14:paraId="47DDC3A6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640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000000"/>
          <w:kern w:val="0"/>
          <w:szCs w:val="21"/>
        </w:rPr>
        <w:t>“马某”普通资金账户于2016年8月22日开立，于2016年9月5日买入“和佳股份”12,400股，成交金额248,564元。</w:t>
      </w:r>
    </w:p>
    <w:p w14:paraId="21A780F6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640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000000"/>
          <w:kern w:val="0"/>
          <w:szCs w:val="21"/>
        </w:rPr>
        <w:t>“李某”普通资金账户于2015年4月7日开立，2016年8月19日至25日共买入“和佳股份”382,000股，成交金额7,502,757.68元；“李某”信用账户于2016年8月22日开立，2016年8月29日至9月7日，共买入“和佳股份”532,600股，成交金额10,888,608.32元。</w:t>
      </w:r>
    </w:p>
    <w:p w14:paraId="320B260C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000000"/>
          <w:kern w:val="0"/>
          <w:szCs w:val="21"/>
        </w:rPr>
        <w:t>“孔某”普通资金账户于2015年10月20日开立，于2016年8月29日买入“和佳股份”271,400股，成交金额5,594,835元；信用账户于2016年8月22日开立，8月31日买入“和佳股份”167,804股，成交金额3,524,566.08元。</w:t>
      </w:r>
    </w:p>
    <w:p w14:paraId="70BF7B8A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000000"/>
          <w:kern w:val="0"/>
          <w:szCs w:val="21"/>
        </w:rPr>
        <w:t>  经计算，截至2017年7月，上述账户因交易“和佳股份”股票，总计亏损309.77万元。</w:t>
      </w:r>
    </w:p>
    <w:p w14:paraId="7CF34D86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 （二）相关账户交易决策及实际操作人情况</w:t>
      </w:r>
    </w:p>
    <w:p w14:paraId="1CF1F934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000000"/>
          <w:kern w:val="0"/>
          <w:szCs w:val="21"/>
        </w:rPr>
        <w:t>  李培尚与邓某是夫妻关系、与马某是母子关系、与李某是远房亲属关系、与孔某是同事关系，相关账户交易“和佳股份”均由李培尚决策并实际操作。</w:t>
      </w:r>
    </w:p>
    <w:p w14:paraId="09F20C8C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 （三）账户资金情况</w:t>
      </w:r>
    </w:p>
    <w:p w14:paraId="25D8035E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000000"/>
          <w:kern w:val="0"/>
          <w:szCs w:val="21"/>
        </w:rPr>
        <w:t>  “李培尚”、“邓某”、“马某”、“李某”账户交易“和佳股份”资金主要来源于历史沉淀资金及李培尚、邓某账户。</w:t>
      </w:r>
    </w:p>
    <w:p w14:paraId="6B0602F0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000000"/>
          <w:kern w:val="0"/>
          <w:szCs w:val="21"/>
        </w:rPr>
        <w:t>  “孔某”账户交易资金来源于李培尚、邓某某等人成立的“关爱互助基金”。</w:t>
      </w:r>
    </w:p>
    <w:p w14:paraId="60ABB090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（四）当事人联络、接触情况及异常交易特征　　</w:t>
      </w:r>
    </w:p>
    <w:p w14:paraId="35A17C6C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李培尚与内幕信息知情人</w:t>
      </w:r>
      <w:r w:rsidRPr="00963E5E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刘某</w:t>
      </w:r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熟识，互相认识多年，通话、见面频繁，内幕信息价格敏感期内多次通话并见面。李培尚与</w:t>
      </w:r>
      <w:r w:rsidRPr="00963E5E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曹某</w:t>
      </w:r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认识，内幕信息价格敏感期内曾见面。</w:t>
      </w:r>
    </w:p>
    <w:p w14:paraId="0F2F1B98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202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000000"/>
          <w:kern w:val="0"/>
          <w:szCs w:val="21"/>
        </w:rPr>
        <w:t>  李</w:t>
      </w:r>
      <w:proofErr w:type="gramStart"/>
      <w:r w:rsidRPr="0042092C">
        <w:rPr>
          <w:rFonts w:ascii="宋体" w:eastAsia="宋体" w:hAnsi="宋体" w:cs="宋体" w:hint="eastAsia"/>
          <w:color w:val="000000"/>
          <w:kern w:val="0"/>
          <w:szCs w:val="21"/>
        </w:rPr>
        <w:t>培尚控制</w:t>
      </w:r>
      <w:proofErr w:type="gramEnd"/>
      <w:r w:rsidRPr="0042092C">
        <w:rPr>
          <w:rFonts w:ascii="宋体" w:eastAsia="宋体" w:hAnsi="宋体" w:cs="宋体" w:hint="eastAsia"/>
          <w:color w:val="000000"/>
          <w:kern w:val="0"/>
          <w:szCs w:val="21"/>
        </w:rPr>
        <w:t>使用的</w:t>
      </w:r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相关账户均为首次买入“和佳股份”股票，且投入资金巨大；相关账户交易“和佳股份”股票时，持有的其他股票均为卖出状态，或</w:t>
      </w:r>
      <w:proofErr w:type="gramStart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只交易</w:t>
      </w:r>
      <w:proofErr w:type="gramEnd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“和佳股份”股票，交易品种集中；“李某”“孔某”信用资金账户、“马某”普通账户在敏感期内开立后，在和</w:t>
      </w:r>
      <w:proofErr w:type="gramStart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佳股份</w:t>
      </w:r>
      <w:proofErr w:type="gramEnd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停牌前，仅用于交易“和佳股份”股票</w:t>
      </w:r>
      <w:r w:rsidRPr="0042092C">
        <w:rPr>
          <w:rFonts w:ascii="宋体" w:eastAsia="宋体" w:hAnsi="宋体" w:cs="宋体" w:hint="eastAsia"/>
          <w:color w:val="000000"/>
          <w:kern w:val="0"/>
          <w:szCs w:val="21"/>
        </w:rPr>
        <w:t>。李培尚交易“和佳股份”股票的行为明显异常。</w:t>
      </w:r>
    </w:p>
    <w:p w14:paraId="1D426053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202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  以上事实，有相关公告、相关人员谈话笔录、银行及证券账户资料等证据证明，足以认定。</w:t>
      </w:r>
    </w:p>
    <w:p w14:paraId="16761C48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 我局认为，和</w:t>
      </w:r>
      <w:proofErr w:type="gramStart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佳股份</w:t>
      </w:r>
      <w:proofErr w:type="gramEnd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拟收购致新医疗100%股权事项的相关信息属于《证券法》第七十五条规定的内幕信息，内幕信息价格敏感期为2016年6月22日至9月7日。</w:t>
      </w:r>
      <w:proofErr w:type="gramStart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李培尚与</w:t>
      </w:r>
      <w:proofErr w:type="gramEnd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内幕信息知情人刘某熟识，在敏感期内多次联络，与内幕信息知情人曹某认识，在敏感期内存在接触。</w:t>
      </w:r>
      <w:proofErr w:type="gramStart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李培尚使用</w:t>
      </w:r>
      <w:proofErr w:type="gramEnd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相关账户在敏感期内集中交易“和佳股份”股票，交易金额巨大，相关账户开户时间、股票交易时间与联络时间、内幕信息形成时间基本一致，并均为首次买入，交易行为明显异常。李</w:t>
      </w:r>
      <w:proofErr w:type="gramStart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培尚上述</w:t>
      </w:r>
      <w:proofErr w:type="gramEnd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行为违反了《证券法》第七十三条、第七十六条第一款的规定，构成《证券法》第二百零二条所述的内幕交易违法行为。</w:t>
      </w:r>
    </w:p>
    <w:p w14:paraId="4C27BE9D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  根据当事人违法行为的事实、性质、情节与社会危害程度，依据《证券法》第二百零二条的规定，我局决定：</w:t>
      </w:r>
    </w:p>
    <w:p w14:paraId="2BC85950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责令李</w:t>
      </w:r>
      <w:proofErr w:type="gramStart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培尚依法</w:t>
      </w:r>
      <w:proofErr w:type="gramEnd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处理非法持有的证券，并处以60万元罚款。</w:t>
      </w:r>
    </w:p>
    <w:p w14:paraId="40172875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  上述当事人应自收到本处罚决定书之日起15日内，将罚款汇交中国证券监督管理委员会（财政</w:t>
      </w:r>
      <w:proofErr w:type="gramStart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汇缴专户</w:t>
      </w:r>
      <w:proofErr w:type="gramEnd"/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），开户银行：中信银行总行营业部，账号7111010189800000162，由该行直接上缴国库，并将注有当事人名称的付款凭证复印件送我局备案。当事人如果对本处罚决定不服，可在收到本处罚决定书之日起60日内向中国证券监督管理委员会申请行政复议，也可在收到本处罚决定书之日起6个月内直接向有管辖权的人民法院提起行政诉讼。复议和诉讼期间，上述决定不停止执行。</w:t>
      </w:r>
    </w:p>
    <w:p w14:paraId="5377D48A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64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37218946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64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1C9C25C9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firstLine="64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2D626451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right="1705" w:firstLine="420"/>
        <w:jc w:val="right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333333"/>
          <w:kern w:val="0"/>
          <w:szCs w:val="21"/>
        </w:rPr>
        <w:t>广东证监局</w:t>
      </w:r>
    </w:p>
    <w:p w14:paraId="32AF382A" w14:textId="77777777" w:rsidR="0042092C" w:rsidRPr="0042092C" w:rsidRDefault="0042092C" w:rsidP="0042092C">
      <w:pPr>
        <w:widowControl/>
        <w:shd w:val="clear" w:color="auto" w:fill="FFFFFF"/>
        <w:spacing w:before="160" w:after="160" w:line="315" w:lineRule="atLeast"/>
        <w:ind w:right="1262" w:firstLine="420"/>
        <w:jc w:val="right"/>
        <w:rPr>
          <w:rFonts w:ascii="宋体" w:eastAsia="宋体" w:hAnsi="宋体" w:cs="宋体"/>
          <w:color w:val="333333"/>
          <w:kern w:val="0"/>
          <w:szCs w:val="21"/>
        </w:rPr>
      </w:pPr>
      <w:r w:rsidRPr="0042092C">
        <w:rPr>
          <w:rFonts w:ascii="宋体" w:eastAsia="宋体" w:hAnsi="宋体" w:cs="宋体" w:hint="eastAsia"/>
          <w:color w:val="333333"/>
          <w:spacing w:val="10"/>
          <w:kern w:val="0"/>
          <w:szCs w:val="21"/>
        </w:rPr>
        <w:t>2018年5月 2 日</w:t>
      </w:r>
    </w:p>
    <w:p w14:paraId="367CDE7D" w14:textId="77777777" w:rsidR="005B683F" w:rsidRDefault="005B683F"/>
    <w:sectPr w:rsidR="005B6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9A3FB" w14:textId="77777777" w:rsidR="0012358E" w:rsidRDefault="0012358E" w:rsidP="00963E5E">
      <w:r>
        <w:separator/>
      </w:r>
    </w:p>
  </w:endnote>
  <w:endnote w:type="continuationSeparator" w:id="0">
    <w:p w14:paraId="1002F01D" w14:textId="77777777" w:rsidR="0012358E" w:rsidRDefault="0012358E" w:rsidP="00963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8E66B" w14:textId="77777777" w:rsidR="0012358E" w:rsidRDefault="0012358E" w:rsidP="00963E5E">
      <w:r>
        <w:separator/>
      </w:r>
    </w:p>
  </w:footnote>
  <w:footnote w:type="continuationSeparator" w:id="0">
    <w:p w14:paraId="47FB991E" w14:textId="77777777" w:rsidR="0012358E" w:rsidRDefault="0012358E" w:rsidP="00963E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2C"/>
    <w:rsid w:val="0012358E"/>
    <w:rsid w:val="0042092C"/>
    <w:rsid w:val="005B683F"/>
    <w:rsid w:val="00963E5E"/>
    <w:rsid w:val="00C7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C83E5"/>
  <w15:chartTrackingRefBased/>
  <w15:docId w15:val="{E783DD2D-4630-4A79-A503-0EDBBE71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0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63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3E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3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3E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4040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6987727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26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2021-09-27T09:02:00Z</dcterms:created>
  <dcterms:modified xsi:type="dcterms:W3CDTF">2021-09-28T15:10:00Z</dcterms:modified>
</cp:coreProperties>
</file>