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1B3C7" w14:textId="77777777" w:rsidR="00FB4241" w:rsidRPr="00FB4241" w:rsidRDefault="00FB4241" w:rsidP="00FB4241">
      <w:pPr>
        <w:widowControl/>
        <w:shd w:val="clear" w:color="auto" w:fill="FFFFFF"/>
        <w:spacing w:line="525" w:lineRule="atLeast"/>
        <w:jc w:val="center"/>
        <w:rPr>
          <w:rFonts w:ascii="微软雅黑" w:eastAsia="微软雅黑" w:hAnsi="微软雅黑" w:cs="宋体"/>
          <w:b/>
          <w:bCs/>
          <w:color w:val="0C5CB1"/>
          <w:kern w:val="0"/>
          <w:sz w:val="30"/>
          <w:szCs w:val="30"/>
        </w:rPr>
      </w:pPr>
      <w:r w:rsidRPr="00FB4241">
        <w:rPr>
          <w:rFonts w:ascii="微软雅黑" w:eastAsia="微软雅黑" w:hAnsi="微软雅黑" w:cs="宋体" w:hint="eastAsia"/>
          <w:b/>
          <w:bCs/>
          <w:color w:val="0C5CB1"/>
          <w:kern w:val="0"/>
          <w:sz w:val="30"/>
          <w:szCs w:val="30"/>
        </w:rPr>
        <w:t>中国证券监督管理委员会广东监管局行政处罚决定书〔2019〕3号（曹志亚）</w:t>
      </w:r>
    </w:p>
    <w:p w14:paraId="1FDA8A13" w14:textId="77777777" w:rsidR="00FB4241" w:rsidRPr="00FB4241" w:rsidRDefault="00FB4241" w:rsidP="00FB4241">
      <w:pPr>
        <w:widowControl/>
        <w:shd w:val="clear" w:color="auto" w:fill="FFFFFF"/>
        <w:jc w:val="center"/>
        <w:rPr>
          <w:rFonts w:ascii="宋体" w:eastAsia="宋体" w:hAnsi="宋体" w:cs="宋体"/>
          <w:color w:val="888888"/>
          <w:kern w:val="0"/>
          <w:sz w:val="18"/>
          <w:szCs w:val="18"/>
        </w:rPr>
      </w:pPr>
      <w:r w:rsidRPr="00FB4241">
        <w:rPr>
          <w:rFonts w:ascii="宋体" w:eastAsia="宋体" w:hAnsi="宋体" w:cs="宋体" w:hint="eastAsia"/>
          <w:color w:val="888888"/>
          <w:kern w:val="0"/>
          <w:sz w:val="18"/>
          <w:szCs w:val="18"/>
        </w:rPr>
        <w:t>时间：2019-04-19 来源：</w:t>
      </w:r>
    </w:p>
    <w:p w14:paraId="1DEFB7E5" w14:textId="77777777" w:rsidR="00FB4241" w:rsidRPr="00FB4241" w:rsidRDefault="00FB4241" w:rsidP="00FB4241">
      <w:pPr>
        <w:widowControl/>
        <w:shd w:val="clear" w:color="auto" w:fill="FFFFFF"/>
        <w:spacing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中国证券监督管理委员会广东监管局行政处罚决定书</w:t>
      </w:r>
    </w:p>
    <w:p w14:paraId="106EA07D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center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〔2019〕3号</w:t>
      </w:r>
    </w:p>
    <w:p w14:paraId="7F0F9C25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14E63540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当事人：曹志亚，男，1988年5月出生，住址：海南省海口市美兰区。</w:t>
      </w:r>
    </w:p>
    <w:p w14:paraId="5E958AD3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依据《中华人民共和国证券法》（以下简称《证券法》）的有关规定，我局对曹志亚内幕交易“海航基础”股票行为进行了立案调查、审理，并依法向当事人告知了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作出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行政处罚的事实、理由、依据及当事人依法享有的权利。当事人未提出陈述、申辩意见。本案现已调查、审理终结。</w:t>
      </w:r>
    </w:p>
    <w:p w14:paraId="29FBB1CC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经查明，曹志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亚存在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以下违法事实：</w:t>
      </w:r>
    </w:p>
    <w:p w14:paraId="37E09D3A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一、内幕信息的形成与公开过程</w:t>
      </w:r>
    </w:p>
    <w:p w14:paraId="3EFC83CD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2016年初起，海航基础设施投资集团股份有限公司（以下简称海航基础）开始参与海南铁路有限公司（以下简称海南铁路，原名海南高速铁路有限公司）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混改事项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。后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因混改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事项产生重大变化，海航基础于2017年8月形成新的立项方案。</w:t>
      </w:r>
    </w:p>
    <w:p w14:paraId="78591F1E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2017年8月19日，海航基础伍某寰呈批《关于参与海南环岛高铁混改项目立项的请示》。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根据混改方案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，海南高速铁路有限公司与粤海铁路有限责任公司合并成立海南铁路，海航基础通过增资海南铁路，并收购海南省发展控股有限公司（以下简称海南发控）原持有的部分海南铁路股权项目参与海南铁路混改，项目投资总额为139.27-212.69亿元，持股比例为38.32-39.28%。</w:t>
      </w:r>
    </w:p>
    <w:p w14:paraId="0E0BC553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2017年9月11日，海航基础参与海南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铁路混改事项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立项请示经海航基础高管及其上级控股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股东海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航实业集团有限公司（以下简称海航实业）高管审批通过，海航基础完成该事项第二次内部立项的一级审批流程，即完成海航基础及海航实业的内部决策流程，参与海南铁路新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的混改方案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。</w:t>
      </w:r>
    </w:p>
    <w:p w14:paraId="749DCBB4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2017年11月24日，海航基础向海南发控发函“关于参与海南高铁混改项目合作的函”，表示意向投资。</w:t>
      </w:r>
    </w:p>
    <w:p w14:paraId="649CAE53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2017年11月28日，海航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实业马某亮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发起海南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铁路混改项目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第二次内部立项二级审批，即海航实业发起、海航实业的控股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股东海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航集团有限公司（以下简称海航集团）审批的二级审批流程。请示的内容与2017年9月11日经一级审批通过的海航基础参与海南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铁路混改事项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立项请示基本一致。</w:t>
      </w:r>
    </w:p>
    <w:p w14:paraId="69D8A2C2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2018年1月5日，海航集团通过审批。</w:t>
      </w:r>
    </w:p>
    <w:p w14:paraId="36E8C8F0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2018年1月23日，海航基础发布公告，公司股票自该日起停牌，并称公司控股股东正在筹划涉及本公司的重大事项，公司不确定该事项是否构成重大资产重组。</w:t>
      </w:r>
    </w:p>
    <w:p w14:paraId="1B717E93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综上，海航基础参与海南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铁路混改事项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属于《证券法》第六十七条第二款第二项规定的重大事件，构成《证券法》第七十五条所述“本法第六十七条第二款所列重大事件”的内幕信息。内幕信息形成时间为不晚于2017年9月11日，内幕信息敏感期为2017年9月11日至2018年1月23日。</w:t>
      </w:r>
    </w:p>
    <w:p w14:paraId="6C1189A4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二、曹志亚内幕交易“海航基础”情况</w:t>
      </w:r>
    </w:p>
    <w:p w14:paraId="77DA5A47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（一）曹志亚获知内幕信息情况　 </w:t>
      </w:r>
    </w:p>
    <w:p w14:paraId="0EC63FD2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8C382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曹志亚因工作关系知悉海航基础参与海南</w:t>
      </w:r>
      <w:proofErr w:type="gramStart"/>
      <w:r w:rsidRPr="008C3822">
        <w:rPr>
          <w:rFonts w:ascii="宋体" w:eastAsia="宋体" w:hAnsi="宋体" w:cs="宋体" w:hint="eastAsia"/>
          <w:color w:val="333333"/>
          <w:kern w:val="0"/>
          <w:szCs w:val="21"/>
          <w:highlight w:val="yellow"/>
        </w:rPr>
        <w:t>铁路混改事项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。2017年9月15日，曹志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亚收到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海航实业投资银行部邮件，显示海航基础参与海南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铁路混改项目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调整立项已呈报。因此，曹志亚获知内幕信息的时间为不晚于2017年9月15日。</w:t>
      </w:r>
    </w:p>
    <w:p w14:paraId="668B0FA9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（二）“曹志亚”账户交易及决策、操作情况</w:t>
      </w:r>
    </w:p>
    <w:p w14:paraId="7FE4C552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“曹志亚”证券账户于2014年7月7日开立。账户交易“海航基础”股票的期间为2017年11月8日至2017年12月26日，合计买卖“海航基础”股票100,000股，成交金额1,355,982元，其中买入成交50,000股，买入成交金额689,087元，卖出成交50,000股，卖出成交金额666,895元，扣除交易税费后，亏损23,564.01元。曹志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亚实际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控制使用“曹志亚”账户，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并决策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交易“海航基础”股票。</w:t>
      </w:r>
    </w:p>
    <w:p w14:paraId="0672CF75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 （三）账户资金情况</w:t>
      </w:r>
    </w:p>
    <w:p w14:paraId="7D8D67EF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“曹志亚”账户交易“曹志亚”股票的资金为自有资金。</w:t>
      </w:r>
    </w:p>
    <w:p w14:paraId="34D93103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 以上事实，有相关公告、相关人员谈话笔录、银行及证券账户资料等证据证明，足以认定。</w:t>
      </w:r>
    </w:p>
    <w:p w14:paraId="0B3A1D3B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我局认为，曹志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亚作为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内幕信息知情人，在内幕信息公开之前买卖“海航基础”股票，违反了《证券法》第七十三条、第七十六条第一款的规定，构成《证券法》第二百零二条所述的内幕交易行为。</w:t>
      </w:r>
    </w:p>
    <w:p w14:paraId="4F800B71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根据当事人违法行为的事实、性质、情节及社会危害程度，依据《证券法》第二百零二条的规定，我局决定：</w:t>
      </w:r>
    </w:p>
    <w:p w14:paraId="7E43D1ED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对曹志亚处以4万元罚款。</w:t>
      </w:r>
    </w:p>
    <w:p w14:paraId="0AD9762D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当事人应自收到本处罚决定书之日起15日内，将罚款汇交中国证券监督管理委员会（财政</w:t>
      </w:r>
      <w:proofErr w:type="gramStart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汇缴专户</w:t>
      </w:r>
      <w:proofErr w:type="gramEnd"/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），开户银行：中信银行总行营业部，账号7111010189800000162，由该行直接上缴国库，并将注有当事人名称的付款凭证复印件送我局备案。当事人如果对本处罚决定不服，可在收到本处罚决定书之日起60日内向中国证券监督管理委员会申请行政复议，也可在收到本处罚决定书之日起6个月内直接向有管辖权的人民法院提起行政诉讼。复议和诉讼期间，上述决定不停止执行。</w:t>
      </w:r>
    </w:p>
    <w:p w14:paraId="5397403D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6C883E39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41C7F749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14:paraId="2F66789F" w14:textId="77777777" w:rsidR="00FB4241" w:rsidRPr="00FB4241" w:rsidRDefault="00FB4241" w:rsidP="00FB4241">
      <w:pPr>
        <w:widowControl/>
        <w:shd w:val="clear" w:color="auto" w:fill="FFFFFF"/>
        <w:spacing w:before="90" w:after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　　　　　　　 广东证监局</w:t>
      </w:r>
    </w:p>
    <w:p w14:paraId="092E4215" w14:textId="77777777" w:rsidR="00FB4241" w:rsidRPr="00FB4241" w:rsidRDefault="00FB4241" w:rsidP="00FB4241">
      <w:pPr>
        <w:widowControl/>
        <w:shd w:val="clear" w:color="auto" w:fill="FFFFFF"/>
        <w:spacing w:before="90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B4241">
        <w:rPr>
          <w:rFonts w:ascii="宋体" w:eastAsia="宋体" w:hAnsi="宋体" w:cs="宋体" w:hint="eastAsia"/>
          <w:color w:val="333333"/>
          <w:kern w:val="0"/>
          <w:szCs w:val="21"/>
        </w:rPr>
        <w:t xml:space="preserve">　　　　　　　　　　　　　　　　　　　　　　　　　　　　　　　　　　　　　　　　　　　　　　　　　　　  2019年4月16日</w:t>
      </w:r>
    </w:p>
    <w:p w14:paraId="4EA9DCB2" w14:textId="77777777" w:rsidR="005B683F" w:rsidRDefault="005B683F"/>
    <w:sectPr w:rsidR="005B6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A8C0D" w14:textId="77777777" w:rsidR="005E61A8" w:rsidRDefault="005E61A8" w:rsidP="008C3822">
      <w:r>
        <w:separator/>
      </w:r>
    </w:p>
  </w:endnote>
  <w:endnote w:type="continuationSeparator" w:id="0">
    <w:p w14:paraId="66794153" w14:textId="77777777" w:rsidR="005E61A8" w:rsidRDefault="005E61A8" w:rsidP="008C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DD89C" w14:textId="77777777" w:rsidR="005E61A8" w:rsidRDefault="005E61A8" w:rsidP="008C3822">
      <w:r>
        <w:separator/>
      </w:r>
    </w:p>
  </w:footnote>
  <w:footnote w:type="continuationSeparator" w:id="0">
    <w:p w14:paraId="3DB95E80" w14:textId="77777777" w:rsidR="005E61A8" w:rsidRDefault="005E61A8" w:rsidP="008C3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41"/>
    <w:rsid w:val="005B683F"/>
    <w:rsid w:val="005E61A8"/>
    <w:rsid w:val="008C3822"/>
    <w:rsid w:val="00FB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FA6529"/>
  <w15:chartTrackingRefBased/>
  <w15:docId w15:val="{D16534CB-9C78-4344-B601-CADBA7DCC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2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C38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C38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C38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C38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95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8730">
          <w:marLeft w:val="0"/>
          <w:marRight w:val="0"/>
          <w:marTop w:val="0"/>
          <w:marBottom w:val="0"/>
          <w:divBdr>
            <w:top w:val="none" w:sz="0" w:space="23" w:color="auto"/>
            <w:left w:val="none" w:sz="0" w:space="31" w:color="auto"/>
            <w:bottom w:val="single" w:sz="12" w:space="11" w:color="CCCCCC"/>
            <w:right w:val="none" w:sz="0" w:space="31" w:color="auto"/>
          </w:divBdr>
        </w:div>
        <w:div w:id="27088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181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56153">
              <w:marLeft w:val="0"/>
              <w:marRight w:val="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2</cp:revision>
  <dcterms:created xsi:type="dcterms:W3CDTF">2021-09-27T09:10:00Z</dcterms:created>
  <dcterms:modified xsi:type="dcterms:W3CDTF">2021-09-28T16:07:00Z</dcterms:modified>
</cp:coreProperties>
</file>