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A79B" w14:textId="77777777" w:rsidR="00C02421" w:rsidRPr="00C02421" w:rsidRDefault="00C02421" w:rsidP="00C02421">
      <w:pPr>
        <w:widowControl/>
        <w:shd w:val="clear" w:color="auto" w:fill="FFFFFF"/>
        <w:spacing w:line="525" w:lineRule="atLeast"/>
        <w:jc w:val="center"/>
        <w:rPr>
          <w:rFonts w:ascii="微软雅黑" w:eastAsia="微软雅黑" w:hAnsi="微软雅黑" w:cs="宋体"/>
          <w:b/>
          <w:bCs/>
          <w:color w:val="0C5CB1"/>
          <w:kern w:val="0"/>
          <w:sz w:val="30"/>
          <w:szCs w:val="30"/>
        </w:rPr>
      </w:pPr>
      <w:r w:rsidRPr="00C02421">
        <w:rPr>
          <w:rFonts w:ascii="微软雅黑" w:eastAsia="微软雅黑" w:hAnsi="微软雅黑" w:cs="宋体" w:hint="eastAsia"/>
          <w:b/>
          <w:bCs/>
          <w:color w:val="0C5CB1"/>
          <w:kern w:val="0"/>
          <w:sz w:val="30"/>
          <w:szCs w:val="30"/>
        </w:rPr>
        <w:t>中国证券监督管理委员会新疆监管局行政处罚决定书（〔2019〕9号）</w:t>
      </w:r>
    </w:p>
    <w:p w14:paraId="3D68DC38" w14:textId="77777777" w:rsidR="00C02421" w:rsidRPr="00C02421" w:rsidRDefault="00C02421" w:rsidP="00C02421">
      <w:pPr>
        <w:widowControl/>
        <w:shd w:val="clear" w:color="auto" w:fill="FFFFFF"/>
        <w:jc w:val="center"/>
        <w:rPr>
          <w:rFonts w:ascii="宋体" w:eastAsia="宋体" w:hAnsi="宋体" w:cs="宋体" w:hint="eastAsia"/>
          <w:color w:val="888888"/>
          <w:kern w:val="0"/>
          <w:sz w:val="18"/>
          <w:szCs w:val="18"/>
        </w:rPr>
      </w:pPr>
      <w:r w:rsidRPr="00C02421">
        <w:rPr>
          <w:rFonts w:ascii="宋体" w:eastAsia="宋体" w:hAnsi="宋体" w:cs="宋体" w:hint="eastAsia"/>
          <w:color w:val="888888"/>
          <w:kern w:val="0"/>
          <w:sz w:val="18"/>
          <w:szCs w:val="18"/>
        </w:rPr>
        <w:t>时间：2019-10-28 来源：</w:t>
      </w:r>
    </w:p>
    <w:p w14:paraId="7AD5344B"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当事人：胡蒙菲，女，1968年7月出生，住址：浙江省宁波市北仑区。</w:t>
      </w:r>
    </w:p>
    <w:p w14:paraId="60442D49"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依据《中华人民共和国证券法》（以下简称《证券法》）的有关规定，新疆证监局对胡蒙菲内幕交易违法行为进行了立案调查、审理，并依法向当事人告知了</w:t>
      </w:r>
      <w:proofErr w:type="gramStart"/>
      <w:r w:rsidRPr="00C02421">
        <w:rPr>
          <w:rFonts w:ascii="宋体" w:eastAsia="宋体" w:hAnsi="宋体" w:cs="宋体" w:hint="eastAsia"/>
          <w:color w:val="333333"/>
          <w:kern w:val="0"/>
          <w:szCs w:val="21"/>
        </w:rPr>
        <w:t>作出</w:t>
      </w:r>
      <w:proofErr w:type="gramEnd"/>
      <w:r w:rsidRPr="00C02421">
        <w:rPr>
          <w:rFonts w:ascii="宋体" w:eastAsia="宋体" w:hAnsi="宋体" w:cs="宋体" w:hint="eastAsia"/>
          <w:color w:val="333333"/>
          <w:kern w:val="0"/>
          <w:szCs w:val="21"/>
        </w:rPr>
        <w:t>行政处罚的事实、理由、依据及当事人依法享有的权利。当事人胡蒙菲进行了陈述、申辩。本案现已调查、审理终结。</w:t>
      </w:r>
    </w:p>
    <w:p w14:paraId="328A3617"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经查明，当事人存在以下违法事实：</w:t>
      </w:r>
    </w:p>
    <w:p w14:paraId="7B49F1C2"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一、内幕信息的形成和公开过程</w:t>
      </w:r>
    </w:p>
    <w:p w14:paraId="5ECCA4C6"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2012年10月22日，浙江省能源集团有限公司（以下简称“浙能集团”）通过股权收购，成为宁波海运股份有限公司（以下简称“宁波海运”）的控股股东，间接持有宁波海运41.90%的股份。</w:t>
      </w:r>
    </w:p>
    <w:p w14:paraId="6BDA1F29"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2013年1月31日，</w:t>
      </w:r>
      <w:proofErr w:type="gramStart"/>
      <w:r w:rsidRPr="00C02421">
        <w:rPr>
          <w:rFonts w:ascii="宋体" w:eastAsia="宋体" w:hAnsi="宋体" w:cs="宋体" w:hint="eastAsia"/>
          <w:color w:val="333333"/>
          <w:kern w:val="0"/>
          <w:szCs w:val="21"/>
        </w:rPr>
        <w:t>浙能集团</w:t>
      </w:r>
      <w:proofErr w:type="gramEnd"/>
      <w:r w:rsidRPr="00C02421">
        <w:rPr>
          <w:rFonts w:ascii="宋体" w:eastAsia="宋体" w:hAnsi="宋体" w:cs="宋体" w:hint="eastAsia"/>
          <w:color w:val="333333"/>
          <w:kern w:val="0"/>
          <w:szCs w:val="21"/>
        </w:rPr>
        <w:t>出具《关于避免同业竞争等利益冲突、保持宁波海运股份有限公司经营独立性的承诺函》，并</w:t>
      </w:r>
      <w:proofErr w:type="gramStart"/>
      <w:r w:rsidRPr="00C02421">
        <w:rPr>
          <w:rFonts w:ascii="宋体" w:eastAsia="宋体" w:hAnsi="宋体" w:cs="宋体" w:hint="eastAsia"/>
          <w:color w:val="333333"/>
          <w:kern w:val="0"/>
          <w:szCs w:val="21"/>
        </w:rPr>
        <w:t>作出</w:t>
      </w:r>
      <w:proofErr w:type="gramEnd"/>
      <w:r w:rsidRPr="00C02421">
        <w:rPr>
          <w:rFonts w:ascii="宋体" w:eastAsia="宋体" w:hAnsi="宋体" w:cs="宋体" w:hint="eastAsia"/>
          <w:color w:val="333333"/>
          <w:kern w:val="0"/>
          <w:szCs w:val="21"/>
        </w:rPr>
        <w:t>以下承诺:……（二）用五年左右的</w:t>
      </w:r>
      <w:proofErr w:type="gramStart"/>
      <w:r w:rsidRPr="00C02421">
        <w:rPr>
          <w:rFonts w:ascii="宋体" w:eastAsia="宋体" w:hAnsi="宋体" w:cs="宋体" w:hint="eastAsia"/>
          <w:color w:val="333333"/>
          <w:kern w:val="0"/>
          <w:szCs w:val="21"/>
        </w:rPr>
        <w:t>时间将富兴</w:t>
      </w:r>
      <w:proofErr w:type="gramEnd"/>
      <w:r w:rsidRPr="00C02421">
        <w:rPr>
          <w:rFonts w:ascii="宋体" w:eastAsia="宋体" w:hAnsi="宋体" w:cs="宋体" w:hint="eastAsia"/>
          <w:color w:val="333333"/>
          <w:kern w:val="0"/>
          <w:szCs w:val="21"/>
        </w:rPr>
        <w:t>海运和</w:t>
      </w:r>
      <w:proofErr w:type="gramStart"/>
      <w:r w:rsidRPr="00C02421">
        <w:rPr>
          <w:rFonts w:ascii="宋体" w:eastAsia="宋体" w:hAnsi="宋体" w:cs="宋体" w:hint="eastAsia"/>
          <w:color w:val="333333"/>
          <w:kern w:val="0"/>
          <w:szCs w:val="21"/>
        </w:rPr>
        <w:t>浙能通利从事</w:t>
      </w:r>
      <w:proofErr w:type="gramEnd"/>
      <w:r w:rsidRPr="00C02421">
        <w:rPr>
          <w:rFonts w:ascii="宋体" w:eastAsia="宋体" w:hAnsi="宋体" w:cs="宋体" w:hint="eastAsia"/>
          <w:color w:val="333333"/>
          <w:kern w:val="0"/>
          <w:szCs w:val="21"/>
        </w:rPr>
        <w:t>国内沿海货物运输业务的相关资产在符合法律法规规定和中国证监会有关规则的前提下，以适当的方式注入本公司（即宁波海运），或者通过其他合法合</w:t>
      </w:r>
      <w:proofErr w:type="gramStart"/>
      <w:r w:rsidRPr="00C02421">
        <w:rPr>
          <w:rFonts w:ascii="宋体" w:eastAsia="宋体" w:hAnsi="宋体" w:cs="宋体" w:hint="eastAsia"/>
          <w:color w:val="333333"/>
          <w:kern w:val="0"/>
          <w:szCs w:val="21"/>
        </w:rPr>
        <w:t>规</w:t>
      </w:r>
      <w:proofErr w:type="gramEnd"/>
      <w:r w:rsidRPr="00C02421">
        <w:rPr>
          <w:rFonts w:ascii="宋体" w:eastAsia="宋体" w:hAnsi="宋体" w:cs="宋体" w:hint="eastAsia"/>
          <w:color w:val="333333"/>
          <w:kern w:val="0"/>
          <w:szCs w:val="21"/>
        </w:rPr>
        <w:t>的方式解决上述同业竞争问题……</w:t>
      </w:r>
      <w:proofErr w:type="gramStart"/>
      <w:r w:rsidRPr="00C02421">
        <w:rPr>
          <w:rFonts w:ascii="宋体" w:eastAsia="宋体" w:hAnsi="宋体" w:cs="宋体" w:hint="eastAsia"/>
          <w:color w:val="333333"/>
          <w:kern w:val="0"/>
          <w:szCs w:val="21"/>
        </w:rPr>
        <w:t>”</w:t>
      </w:r>
      <w:proofErr w:type="gramEnd"/>
      <w:r w:rsidRPr="00C02421">
        <w:rPr>
          <w:rFonts w:ascii="宋体" w:eastAsia="宋体" w:hAnsi="宋体" w:cs="宋体" w:hint="eastAsia"/>
          <w:color w:val="333333"/>
          <w:kern w:val="0"/>
          <w:szCs w:val="21"/>
        </w:rPr>
        <w:t>。</w:t>
      </w:r>
    </w:p>
    <w:p w14:paraId="29EA62EE"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2017年11月15日，宁波海运召开资产重组方案策划会，会议签署《宁波海运股份有限公司重大资产重组交易进程备忘录第1号》（以下简称《合作备忘录1号》），并确定宁波海运重组的总体方案：宁波海运拟发行股份或以支付现金方式购买浙江富兴海运有限公司（以下简称“富兴海运”）51%股权，浙江浙能通利航运有限公司（以下简称“浙能通利”）60%股权，宁波江海运输有限公司（以下简称“江海运输”）77%股权和宁波北仑船务有限公司（以下简称“北仑船务”）39.2%股权。会议同时决定在下阶段同步推进与上海海虹实业（集团）有限公司（以下简称“海虹集团”）等其他北仑船务的股东签订一致行动人协议，以实现宁波海运并表北仑船务。</w:t>
      </w:r>
    </w:p>
    <w:p w14:paraId="1FE201D4"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lastRenderedPageBreak/>
        <w:t>2017年12月25日，宁波海运召开会议讨论签署《一致行动人协议》的相关事项。会议讨论并确定通过签订一致行动人协议方式，将北仑船务并</w:t>
      </w:r>
      <w:proofErr w:type="gramStart"/>
      <w:r w:rsidRPr="00C02421">
        <w:rPr>
          <w:rFonts w:ascii="宋体" w:eastAsia="宋体" w:hAnsi="宋体" w:cs="宋体" w:hint="eastAsia"/>
          <w:color w:val="333333"/>
          <w:kern w:val="0"/>
          <w:szCs w:val="21"/>
        </w:rPr>
        <w:t>表上市</w:t>
      </w:r>
      <w:proofErr w:type="gramEnd"/>
      <w:r w:rsidRPr="00C02421">
        <w:rPr>
          <w:rFonts w:ascii="宋体" w:eastAsia="宋体" w:hAnsi="宋体" w:cs="宋体" w:hint="eastAsia"/>
          <w:color w:val="333333"/>
          <w:kern w:val="0"/>
          <w:szCs w:val="21"/>
        </w:rPr>
        <w:t>公司更符合《上市公司重大资产重组管理办法》相关要求。</w:t>
      </w:r>
    </w:p>
    <w:p w14:paraId="3C6CF2CA"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2018年1月3日，宁波海运召开海运资产整合项目推进工作会议。</w:t>
      </w:r>
    </w:p>
    <w:p w14:paraId="3AAB01E1"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2018年1月4日，宁波海运相关负责人赴海虹集团商谈一致行动人协议事宜。</w:t>
      </w:r>
    </w:p>
    <w:p w14:paraId="4D73EE0D"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2018年1月8日，海虹集团召开经营工作办公会，研究签订一致行动人协议。</w:t>
      </w:r>
    </w:p>
    <w:p w14:paraId="73805657"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2018年1月17日，</w:t>
      </w:r>
      <w:proofErr w:type="gramStart"/>
      <w:r w:rsidRPr="00C02421">
        <w:rPr>
          <w:rFonts w:ascii="宋体" w:eastAsia="宋体" w:hAnsi="宋体" w:cs="宋体" w:hint="eastAsia"/>
          <w:color w:val="333333"/>
          <w:kern w:val="0"/>
          <w:szCs w:val="21"/>
        </w:rPr>
        <w:t>浙能集团</w:t>
      </w:r>
      <w:proofErr w:type="gramEnd"/>
      <w:r w:rsidRPr="00C02421">
        <w:rPr>
          <w:rFonts w:ascii="宋体" w:eastAsia="宋体" w:hAnsi="宋体" w:cs="宋体" w:hint="eastAsia"/>
          <w:color w:val="333333"/>
          <w:kern w:val="0"/>
          <w:szCs w:val="21"/>
        </w:rPr>
        <w:t>董事会投资委员会召开会议，</w:t>
      </w:r>
      <w:proofErr w:type="gramStart"/>
      <w:r w:rsidRPr="00C02421">
        <w:rPr>
          <w:rFonts w:ascii="宋体" w:eastAsia="宋体" w:hAnsi="宋体" w:cs="宋体" w:hint="eastAsia"/>
          <w:color w:val="333333"/>
          <w:kern w:val="0"/>
          <w:szCs w:val="21"/>
        </w:rPr>
        <w:t>审议浙能集团</w:t>
      </w:r>
      <w:proofErr w:type="gramEnd"/>
      <w:r w:rsidRPr="00C02421">
        <w:rPr>
          <w:rFonts w:ascii="宋体" w:eastAsia="宋体" w:hAnsi="宋体" w:cs="宋体" w:hint="eastAsia"/>
          <w:color w:val="333333"/>
          <w:kern w:val="0"/>
          <w:szCs w:val="21"/>
        </w:rPr>
        <w:t>所属海运资产重组事宜。</w:t>
      </w:r>
    </w:p>
    <w:p w14:paraId="1D7D3DD8"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2018年1月18日，</w:t>
      </w:r>
      <w:proofErr w:type="gramStart"/>
      <w:r w:rsidRPr="00C02421">
        <w:rPr>
          <w:rFonts w:ascii="宋体" w:eastAsia="宋体" w:hAnsi="宋体" w:cs="宋体" w:hint="eastAsia"/>
          <w:color w:val="333333"/>
          <w:kern w:val="0"/>
          <w:szCs w:val="21"/>
        </w:rPr>
        <w:t>浙能集团</w:t>
      </w:r>
      <w:proofErr w:type="gramEnd"/>
      <w:r w:rsidRPr="00C02421">
        <w:rPr>
          <w:rFonts w:ascii="宋体" w:eastAsia="宋体" w:hAnsi="宋体" w:cs="宋体" w:hint="eastAsia"/>
          <w:color w:val="333333"/>
          <w:kern w:val="0"/>
          <w:szCs w:val="21"/>
        </w:rPr>
        <w:t>召开董事会对启动所属海运资产重组事宜进行审议。</w:t>
      </w:r>
    </w:p>
    <w:p w14:paraId="68BA5338"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2018年1月19日，宁波海运发布重大事项停牌公告。</w:t>
      </w:r>
    </w:p>
    <w:p w14:paraId="4F177DAF"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2018年1月26日，宁波海运发布重大事项继续停牌公告：“2018年1月25日，公司接浙能集团函告，浙能集团正在积极推进与本公司相关重大事项的筹划，该事项有可能构成重大资产重组，目前尚存在不确定性”。</w:t>
      </w:r>
    </w:p>
    <w:p w14:paraId="533D8375"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2018年2月2日，宁波海运发布重大资产重组停牌公告。</w:t>
      </w:r>
    </w:p>
    <w:p w14:paraId="79E8F405"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综上，上述宁波海运重大资产重组事项，以及拟通过签订一致行动人协议并表北仑船务事项，均属于《证券法》第六十七条第二款第（二）项、第（三）项规定的重大事件，构成《证券法》第七十五条第二款第（一）项规定的内幕信息。该信息不晚于2017年11月15日形成，于2018年1月26日公开。2018年1月9日，北仑船务全体董事、监事、高级管理人员接到通知，北仑船务作为宁波海运资产重组标的公司，董事、监事、高级管理人员不能再买卖宁波海运股票，</w:t>
      </w:r>
      <w:proofErr w:type="gramStart"/>
      <w:r w:rsidRPr="00C02421">
        <w:rPr>
          <w:rFonts w:ascii="宋体" w:eastAsia="宋体" w:hAnsi="宋体" w:cs="宋体" w:hint="eastAsia"/>
          <w:color w:val="333333"/>
          <w:kern w:val="0"/>
          <w:szCs w:val="21"/>
        </w:rPr>
        <w:t>胡某波作为</w:t>
      </w:r>
      <w:proofErr w:type="gramEnd"/>
      <w:r w:rsidRPr="00C02421">
        <w:rPr>
          <w:rFonts w:ascii="宋体" w:eastAsia="宋体" w:hAnsi="宋体" w:cs="宋体" w:hint="eastAsia"/>
          <w:color w:val="333333"/>
          <w:kern w:val="0"/>
          <w:szCs w:val="21"/>
        </w:rPr>
        <w:t>北仑船务监事由此知悉内幕信息，成为内幕信息知情人。</w:t>
      </w:r>
    </w:p>
    <w:p w14:paraId="78E65FD2" w14:textId="77777777" w:rsidR="00C02421" w:rsidRPr="00C02421" w:rsidRDefault="00C02421" w:rsidP="00C02421">
      <w:pPr>
        <w:widowControl/>
        <w:shd w:val="clear" w:color="auto" w:fill="FFFFFF"/>
        <w:spacing w:line="500" w:lineRule="atLeast"/>
        <w:ind w:firstLine="20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二、胡蒙菲内幕交易“宁波海运”情况</w:t>
      </w:r>
    </w:p>
    <w:p w14:paraId="38F6ECCE"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胡蒙菲为</w:t>
      </w:r>
      <w:proofErr w:type="gramStart"/>
      <w:r w:rsidRPr="00C02421">
        <w:rPr>
          <w:rFonts w:ascii="宋体" w:eastAsia="宋体" w:hAnsi="宋体" w:cs="宋体" w:hint="eastAsia"/>
          <w:color w:val="333333"/>
          <w:kern w:val="0"/>
          <w:szCs w:val="21"/>
        </w:rPr>
        <w:t>胡某波配偶</w:t>
      </w:r>
      <w:proofErr w:type="gramEnd"/>
      <w:r w:rsidRPr="00C02421">
        <w:rPr>
          <w:rFonts w:ascii="宋体" w:eastAsia="宋体" w:hAnsi="宋体" w:cs="宋体" w:hint="eastAsia"/>
          <w:color w:val="333333"/>
          <w:kern w:val="0"/>
          <w:szCs w:val="21"/>
        </w:rPr>
        <w:t>，2018年1月9日16时15分</w:t>
      </w:r>
      <w:proofErr w:type="gramStart"/>
      <w:r w:rsidRPr="00C02421">
        <w:rPr>
          <w:rFonts w:ascii="宋体" w:eastAsia="宋体" w:hAnsi="宋体" w:cs="宋体" w:hint="eastAsia"/>
          <w:color w:val="333333"/>
          <w:kern w:val="0"/>
          <w:szCs w:val="21"/>
        </w:rPr>
        <w:t>胡某波在</w:t>
      </w:r>
      <w:proofErr w:type="gramEnd"/>
      <w:r w:rsidRPr="00C02421">
        <w:rPr>
          <w:rFonts w:ascii="宋体" w:eastAsia="宋体" w:hAnsi="宋体" w:cs="宋体" w:hint="eastAsia"/>
          <w:color w:val="333333"/>
          <w:kern w:val="0"/>
          <w:szCs w:val="21"/>
        </w:rPr>
        <w:t>家庭</w:t>
      </w:r>
      <w:proofErr w:type="gramStart"/>
      <w:r w:rsidRPr="00C02421">
        <w:rPr>
          <w:rFonts w:ascii="宋体" w:eastAsia="宋体" w:hAnsi="宋体" w:cs="宋体" w:hint="eastAsia"/>
          <w:color w:val="333333"/>
          <w:kern w:val="0"/>
          <w:szCs w:val="21"/>
        </w:rPr>
        <w:t>微信群</w:t>
      </w:r>
      <w:proofErr w:type="gramEnd"/>
      <w:r w:rsidRPr="00C02421">
        <w:rPr>
          <w:rFonts w:ascii="宋体" w:eastAsia="宋体" w:hAnsi="宋体" w:cs="宋体" w:hint="eastAsia"/>
          <w:color w:val="333333"/>
          <w:kern w:val="0"/>
          <w:szCs w:val="21"/>
        </w:rPr>
        <w:t>中告知胡蒙菲“今天海总来通知了，不许我们买宁波海运”、“马上要停牌了”。</w:t>
      </w:r>
    </w:p>
    <w:p w14:paraId="73E77BDD"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“胡蒙菲”证券账户于2017年3月8日开立于光大证券股份有限公司宁波甬江大道证券营业部。胡蒙菲于2018年1月10日至2018年1月11日，累计8笔买入宁波海运股票</w:t>
      </w:r>
      <w:r w:rsidRPr="00C02421">
        <w:rPr>
          <w:rFonts w:ascii="宋体" w:eastAsia="宋体" w:hAnsi="宋体" w:cs="宋体" w:hint="eastAsia"/>
          <w:color w:val="333333"/>
          <w:kern w:val="0"/>
          <w:szCs w:val="21"/>
        </w:rPr>
        <w:lastRenderedPageBreak/>
        <w:t>21,400股，成交金额109,976元。截至2019年2月19日未卖出该账户中其持有的宁波海运股票，账面亏损10,287.19元。上述交易由胡蒙菲通过其本人办公电脑下单操作。</w:t>
      </w:r>
    </w:p>
    <w:p w14:paraId="1287D61B"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胡蒙菲证券账户对应的三方存管同名银行账户为光大银行账户。根据笔录及证券账户银证转账记录可知，胡蒙菲交易“宁波海运”资金主要为</w:t>
      </w:r>
      <w:proofErr w:type="gramStart"/>
      <w:r w:rsidRPr="00C02421">
        <w:rPr>
          <w:rFonts w:ascii="宋体" w:eastAsia="宋体" w:hAnsi="宋体" w:cs="宋体" w:hint="eastAsia"/>
          <w:color w:val="333333"/>
          <w:kern w:val="0"/>
          <w:szCs w:val="21"/>
        </w:rPr>
        <w:t>胡某波转入</w:t>
      </w:r>
      <w:proofErr w:type="gramEnd"/>
      <w:r w:rsidRPr="00C02421">
        <w:rPr>
          <w:rFonts w:ascii="宋体" w:eastAsia="宋体" w:hAnsi="宋体" w:cs="宋体" w:hint="eastAsia"/>
          <w:color w:val="333333"/>
          <w:kern w:val="0"/>
          <w:szCs w:val="21"/>
        </w:rPr>
        <w:t>。</w:t>
      </w:r>
    </w:p>
    <w:p w14:paraId="002D975D"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胡蒙菲作为内幕信息知情人配偶，在买入宁波海运前胡</w:t>
      </w:r>
      <w:proofErr w:type="gramStart"/>
      <w:r w:rsidRPr="00C02421">
        <w:rPr>
          <w:rFonts w:ascii="宋体" w:eastAsia="宋体" w:hAnsi="宋体" w:cs="宋体" w:hint="eastAsia"/>
          <w:color w:val="333333"/>
          <w:kern w:val="0"/>
          <w:szCs w:val="21"/>
        </w:rPr>
        <w:t>某波明确</w:t>
      </w:r>
      <w:proofErr w:type="gramEnd"/>
      <w:r w:rsidRPr="00C02421">
        <w:rPr>
          <w:rFonts w:ascii="宋体" w:eastAsia="宋体" w:hAnsi="宋体" w:cs="宋体" w:hint="eastAsia"/>
          <w:color w:val="333333"/>
          <w:kern w:val="0"/>
          <w:szCs w:val="21"/>
        </w:rPr>
        <w:t>告知其不能买入宁波海运股票，但胡蒙菲仍然操作买入。买入股票时间、交易资金转入时点与其获悉内幕信息时间基本一致，交易行为明显异常。</w:t>
      </w:r>
    </w:p>
    <w:p w14:paraId="70147E2F"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上述事实，有相关会议记录、证券账户开户资料、交易流水、</w:t>
      </w:r>
      <w:proofErr w:type="gramStart"/>
      <w:r w:rsidRPr="00C02421">
        <w:rPr>
          <w:rFonts w:ascii="宋体" w:eastAsia="宋体" w:hAnsi="宋体" w:cs="宋体" w:hint="eastAsia"/>
          <w:color w:val="333333"/>
          <w:kern w:val="0"/>
          <w:szCs w:val="21"/>
        </w:rPr>
        <w:t>微信记录</w:t>
      </w:r>
      <w:proofErr w:type="gramEnd"/>
      <w:r w:rsidRPr="00C02421">
        <w:rPr>
          <w:rFonts w:ascii="宋体" w:eastAsia="宋体" w:hAnsi="宋体" w:cs="宋体" w:hint="eastAsia"/>
          <w:color w:val="333333"/>
          <w:kern w:val="0"/>
          <w:szCs w:val="21"/>
        </w:rPr>
        <w:t>、相关当事人询问笔录等证据证明，足以认定。</w:t>
      </w:r>
    </w:p>
    <w:p w14:paraId="5D39C224"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综上，胡蒙菲的上述行为违反了《证券法》第七十三条和第七十六条第一款的规定，构成《证券法》第二百零二条所述内幕交易行为。</w:t>
      </w:r>
    </w:p>
    <w:p w14:paraId="0BD9CB0E"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胡蒙菲在陈述申辩材料中提出：第一，其配偶胡某波作为本次资产重组标的公司宁波海运职工监事，并不是高层管理人员，未参加任何关于宁波海运资产重组的会议，不属于内幕信息知情人；第二，其本人不懂《证券法》，认为胡某波所说“今天海总来通知了，不许我们再买宁波海运”中的“我们”仅指北仑船务的董监高，其本人不属于禁止买卖的范围；第三，其在调查期间积极配合且态度诚恳，其本人也从中吸取了深刻教训，请求免予行政罚款。</w:t>
      </w:r>
    </w:p>
    <w:p w14:paraId="3D4F81BF"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我局认为：第一，胡某波作为并购重组标的公司的监事，且在内幕信息敏感期内被明确通知并购重组相关事项，认定胡某波为内幕信息知情人事实清楚、证据确凿。如前所述，胡蒙菲上述交易构成内幕交易；第二，胡蒙菲不存在《行政处罚法》第二十七条规定的减轻或免予处罚的情形。综上，对胡蒙菲的陈述申辩意见不予采纳。</w:t>
      </w:r>
    </w:p>
    <w:p w14:paraId="2E3155ED"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根据当事人违法行为的事实、性质、情节与社会危害程度，依据《证券法》第二百零二条的规定，我局决定：责令胡蒙菲依法处理非法持有的证券，并处以3万元罚款。</w:t>
      </w:r>
    </w:p>
    <w:p w14:paraId="35BA4143"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w:t>
      </w:r>
      <w:r w:rsidRPr="00C02421">
        <w:rPr>
          <w:rFonts w:ascii="宋体" w:eastAsia="宋体" w:hAnsi="宋体" w:cs="宋体" w:hint="eastAsia"/>
          <w:color w:val="333333"/>
          <w:kern w:val="0"/>
          <w:szCs w:val="21"/>
        </w:rPr>
        <w:lastRenderedPageBreak/>
        <w:t>督管理委员会申请行政复议，也可在收到本处罚决定书之日起6个月内向有管辖权的人民法院提起行政诉讼。复议和诉讼期间，上述决定不停止执行。</w:t>
      </w:r>
    </w:p>
    <w:p w14:paraId="45666ADA"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 </w:t>
      </w:r>
    </w:p>
    <w:p w14:paraId="051DF9ED" w14:textId="77777777" w:rsidR="00C02421" w:rsidRPr="00C02421" w:rsidRDefault="00C02421" w:rsidP="00C02421">
      <w:pPr>
        <w:widowControl/>
        <w:shd w:val="clear" w:color="auto" w:fill="FFFFFF"/>
        <w:spacing w:line="500" w:lineRule="atLeast"/>
        <w:ind w:firstLine="420"/>
        <w:jc w:val="lef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 </w:t>
      </w:r>
    </w:p>
    <w:p w14:paraId="6A09AC92" w14:textId="77777777" w:rsidR="00C02421" w:rsidRPr="00C02421" w:rsidRDefault="00C02421" w:rsidP="00C02421">
      <w:pPr>
        <w:widowControl/>
        <w:shd w:val="clear" w:color="auto" w:fill="FFFFFF"/>
        <w:spacing w:line="500" w:lineRule="atLeast"/>
        <w:ind w:firstLine="200"/>
        <w:jc w:val="righ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中国证券监督管理委员会新疆监管局</w:t>
      </w:r>
    </w:p>
    <w:p w14:paraId="102E5514" w14:textId="77777777" w:rsidR="00C02421" w:rsidRPr="00C02421" w:rsidRDefault="00C02421" w:rsidP="00C02421">
      <w:pPr>
        <w:widowControl/>
        <w:shd w:val="clear" w:color="auto" w:fill="FFFFFF"/>
        <w:wordWrap w:val="0"/>
        <w:spacing w:line="500" w:lineRule="atLeast"/>
        <w:ind w:firstLine="200"/>
        <w:jc w:val="right"/>
        <w:rPr>
          <w:rFonts w:ascii="宋体" w:eastAsia="宋体" w:hAnsi="宋体" w:cs="宋体" w:hint="eastAsia"/>
          <w:color w:val="333333"/>
          <w:kern w:val="0"/>
          <w:szCs w:val="21"/>
        </w:rPr>
      </w:pPr>
      <w:r w:rsidRPr="00C02421">
        <w:rPr>
          <w:rFonts w:ascii="宋体" w:eastAsia="宋体" w:hAnsi="宋体" w:cs="宋体" w:hint="eastAsia"/>
          <w:color w:val="333333"/>
          <w:kern w:val="0"/>
          <w:szCs w:val="21"/>
        </w:rPr>
        <w:t>2019年10月22日</w:t>
      </w:r>
    </w:p>
    <w:p w14:paraId="403DC1BA"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21"/>
    <w:rsid w:val="0099526D"/>
    <w:rsid w:val="00C02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076C"/>
  <w15:chartTrackingRefBased/>
  <w15:docId w15:val="{159A95E5-39A3-4301-A650-1B7106B1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24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279257">
      <w:bodyDiv w:val="1"/>
      <w:marLeft w:val="0"/>
      <w:marRight w:val="0"/>
      <w:marTop w:val="0"/>
      <w:marBottom w:val="0"/>
      <w:divBdr>
        <w:top w:val="none" w:sz="0" w:space="0" w:color="auto"/>
        <w:left w:val="none" w:sz="0" w:space="0" w:color="auto"/>
        <w:bottom w:val="none" w:sz="0" w:space="0" w:color="auto"/>
        <w:right w:val="none" w:sz="0" w:space="0" w:color="auto"/>
      </w:divBdr>
      <w:divsChild>
        <w:div w:id="1259367939">
          <w:marLeft w:val="0"/>
          <w:marRight w:val="0"/>
          <w:marTop w:val="0"/>
          <w:marBottom w:val="0"/>
          <w:divBdr>
            <w:top w:val="none" w:sz="0" w:space="23" w:color="auto"/>
            <w:left w:val="none" w:sz="0" w:space="31" w:color="auto"/>
            <w:bottom w:val="single" w:sz="12" w:space="11" w:color="CCCCCC"/>
            <w:right w:val="none" w:sz="0" w:space="31" w:color="auto"/>
          </w:divBdr>
        </w:div>
        <w:div w:id="35862880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2021-10-05T12:35:00Z</dcterms:created>
  <dcterms:modified xsi:type="dcterms:W3CDTF">2021-10-05T12:36:00Z</dcterms:modified>
</cp:coreProperties>
</file>