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54992" w14:textId="77777777" w:rsidR="0015582D" w:rsidRPr="0015582D" w:rsidRDefault="0015582D" w:rsidP="0015582D">
      <w:pPr>
        <w:widowControl/>
        <w:shd w:val="clear" w:color="auto" w:fill="FFFFFF"/>
        <w:spacing w:line="525" w:lineRule="atLeast"/>
        <w:jc w:val="center"/>
        <w:rPr>
          <w:rFonts w:ascii="微软雅黑" w:eastAsia="微软雅黑" w:hAnsi="微软雅黑" w:cs="宋体"/>
          <w:b/>
          <w:bCs/>
          <w:color w:val="0C5CB1"/>
          <w:kern w:val="0"/>
          <w:sz w:val="30"/>
          <w:szCs w:val="30"/>
        </w:rPr>
      </w:pPr>
      <w:r w:rsidRPr="0015582D">
        <w:rPr>
          <w:rFonts w:ascii="微软雅黑" w:eastAsia="微软雅黑" w:hAnsi="微软雅黑" w:cs="宋体" w:hint="eastAsia"/>
          <w:b/>
          <w:bCs/>
          <w:color w:val="0C5CB1"/>
          <w:kern w:val="0"/>
          <w:sz w:val="30"/>
          <w:szCs w:val="30"/>
        </w:rPr>
        <w:t>中国证券监督管理委员会深圳监管局行政处罚决定书〔2014〕3号</w:t>
      </w:r>
    </w:p>
    <w:p w14:paraId="7914559B" w14:textId="77777777" w:rsidR="0015582D" w:rsidRPr="0015582D" w:rsidRDefault="0015582D" w:rsidP="0015582D">
      <w:pPr>
        <w:widowControl/>
        <w:shd w:val="clear" w:color="auto" w:fill="FFFFFF"/>
        <w:jc w:val="center"/>
        <w:rPr>
          <w:rFonts w:ascii="宋体" w:eastAsia="宋体" w:hAnsi="宋体" w:cs="宋体" w:hint="eastAsia"/>
          <w:color w:val="888888"/>
          <w:kern w:val="0"/>
          <w:sz w:val="18"/>
          <w:szCs w:val="18"/>
        </w:rPr>
      </w:pPr>
      <w:r w:rsidRPr="0015582D">
        <w:rPr>
          <w:rFonts w:ascii="宋体" w:eastAsia="宋体" w:hAnsi="宋体" w:cs="宋体" w:hint="eastAsia"/>
          <w:color w:val="888888"/>
          <w:kern w:val="0"/>
          <w:sz w:val="18"/>
          <w:szCs w:val="18"/>
        </w:rPr>
        <w:t>时间：2014-03-07 来源：</w:t>
      </w:r>
    </w:p>
    <w:p w14:paraId="1C2506E8" w14:textId="77777777" w:rsidR="0015582D" w:rsidRPr="0015582D" w:rsidRDefault="0015582D" w:rsidP="0015582D">
      <w:pPr>
        <w:widowControl/>
        <w:shd w:val="clear" w:color="auto" w:fill="FFFFFF"/>
        <w:jc w:val="lef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t> </w:t>
      </w:r>
    </w:p>
    <w:p w14:paraId="5386C5D3"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t>当事人：</w:t>
      </w:r>
      <w:r w:rsidRPr="0015582D">
        <w:rPr>
          <w:rFonts w:ascii="宋体" w:eastAsia="宋体" w:hAnsi="宋体" w:cs="宋体" w:hint="eastAsia"/>
          <w:color w:val="000000"/>
          <w:kern w:val="0"/>
          <w:szCs w:val="21"/>
        </w:rPr>
        <w:t>王立，男，1967年6月出生，时任贵港市</w:t>
      </w:r>
      <w:proofErr w:type="gramStart"/>
      <w:r w:rsidRPr="0015582D">
        <w:rPr>
          <w:rFonts w:ascii="宋体" w:eastAsia="宋体" w:hAnsi="宋体" w:cs="宋体" w:hint="eastAsia"/>
          <w:color w:val="000000"/>
          <w:kern w:val="0"/>
          <w:szCs w:val="21"/>
        </w:rPr>
        <w:t>芭</w:t>
      </w:r>
      <w:proofErr w:type="gramEnd"/>
      <w:r w:rsidRPr="0015582D">
        <w:rPr>
          <w:rFonts w:ascii="宋体" w:eastAsia="宋体" w:hAnsi="宋体" w:cs="宋体" w:hint="eastAsia"/>
          <w:color w:val="000000"/>
          <w:kern w:val="0"/>
          <w:szCs w:val="21"/>
        </w:rPr>
        <w:t>田生态有限公司采购员，住址：广东省揭东县。</w:t>
      </w:r>
    </w:p>
    <w:p w14:paraId="74601DCB"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000000"/>
          <w:kern w:val="0"/>
          <w:szCs w:val="21"/>
        </w:rPr>
        <w:t>依据《中华人民共和国证券法》（以下简称《证券法》）的有关规定，我局对王立的内幕交易行为进行了立案调查、审理，并依法向当事人告知了</w:t>
      </w:r>
      <w:proofErr w:type="gramStart"/>
      <w:r w:rsidRPr="0015582D">
        <w:rPr>
          <w:rFonts w:ascii="宋体" w:eastAsia="宋体" w:hAnsi="宋体" w:cs="宋体" w:hint="eastAsia"/>
          <w:color w:val="000000"/>
          <w:kern w:val="0"/>
          <w:szCs w:val="21"/>
        </w:rPr>
        <w:t>作出</w:t>
      </w:r>
      <w:proofErr w:type="gramEnd"/>
      <w:r w:rsidRPr="0015582D">
        <w:rPr>
          <w:rFonts w:ascii="宋体" w:eastAsia="宋体" w:hAnsi="宋体" w:cs="宋体" w:hint="eastAsia"/>
          <w:color w:val="000000"/>
          <w:kern w:val="0"/>
          <w:szCs w:val="21"/>
        </w:rPr>
        <w:t>行政处罚的事实、理由、依据及当事人依法享有的权利，当事人王立进行了陈述、申辩。本案现已调查、审理终结。</w:t>
      </w:r>
    </w:p>
    <w:p w14:paraId="2663F566"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t>经查明，王立存在以下违法事实：</w:t>
      </w:r>
    </w:p>
    <w:p w14:paraId="63CA1F3F"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000000"/>
          <w:kern w:val="0"/>
          <w:szCs w:val="21"/>
        </w:rPr>
        <w:t>一、关于内幕信息</w:t>
      </w:r>
    </w:p>
    <w:p w14:paraId="5C1DA1E1"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t>磷资源是深圳市</w:t>
      </w:r>
      <w:proofErr w:type="gramStart"/>
      <w:r w:rsidRPr="0015582D">
        <w:rPr>
          <w:rFonts w:ascii="宋体" w:eastAsia="宋体" w:hAnsi="宋体" w:cs="宋体" w:hint="eastAsia"/>
          <w:color w:val="333333"/>
          <w:kern w:val="0"/>
          <w:szCs w:val="21"/>
        </w:rPr>
        <w:t>芭</w:t>
      </w:r>
      <w:proofErr w:type="gramEnd"/>
      <w:r w:rsidRPr="0015582D">
        <w:rPr>
          <w:rFonts w:ascii="宋体" w:eastAsia="宋体" w:hAnsi="宋体" w:cs="宋体" w:hint="eastAsia"/>
          <w:color w:val="333333"/>
          <w:kern w:val="0"/>
          <w:szCs w:val="21"/>
        </w:rPr>
        <w:t>田生态工程股份有限公司（下称</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或公司）主营业务产品复合肥的三大主要原材料之一，该公司一直有进入磷矿资源行业的想法。2012年4月初，</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派李某某等人对贵州瓮安县磷矿资源进行了考察。</w:t>
      </w:r>
    </w:p>
    <w:p w14:paraId="77D82773"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t>2012年4月13日，</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召开磷矿项目第一次碰头会，形成《120413次磷矿项目碰头会备忘》。此后，公司多次召开碰头会研究瓮安磷矿项目，并邀请瓮安县相关领导到</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考察、商洽。</w:t>
      </w:r>
    </w:p>
    <w:p w14:paraId="3A6E6A81"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000000"/>
          <w:kern w:val="0"/>
          <w:szCs w:val="21"/>
        </w:rPr>
        <w:t>2012年5月2日，根据法律顾问意见，</w:t>
      </w:r>
      <w:proofErr w:type="gramStart"/>
      <w:r w:rsidRPr="0015582D">
        <w:rPr>
          <w:rFonts w:ascii="宋体" w:eastAsia="宋体" w:hAnsi="宋体" w:cs="宋体" w:hint="eastAsia"/>
          <w:color w:val="000000"/>
          <w:kern w:val="0"/>
          <w:szCs w:val="21"/>
        </w:rPr>
        <w:t>芭田股份</w:t>
      </w:r>
      <w:proofErr w:type="gramEnd"/>
      <w:r w:rsidRPr="0015582D">
        <w:rPr>
          <w:rFonts w:ascii="宋体" w:eastAsia="宋体" w:hAnsi="宋体" w:cs="宋体" w:hint="eastAsia"/>
          <w:color w:val="000000"/>
          <w:kern w:val="0"/>
          <w:szCs w:val="21"/>
        </w:rPr>
        <w:t>完成了《聚磷酸等新磷肥及配套磷化工项目投资协议书（草案）》的修订，形成《聚磷酸等新磷肥及配套磷化工项目投资协议书》，5月4日至5日，</w:t>
      </w:r>
      <w:proofErr w:type="gramStart"/>
      <w:r w:rsidRPr="0015582D">
        <w:rPr>
          <w:rFonts w:ascii="宋体" w:eastAsia="宋体" w:hAnsi="宋体" w:cs="宋体" w:hint="eastAsia"/>
          <w:color w:val="000000"/>
          <w:kern w:val="0"/>
          <w:szCs w:val="21"/>
        </w:rPr>
        <w:t>芭田股份</w:t>
      </w:r>
      <w:proofErr w:type="gramEnd"/>
      <w:r w:rsidRPr="0015582D">
        <w:rPr>
          <w:rFonts w:ascii="宋体" w:eastAsia="宋体" w:hAnsi="宋体" w:cs="宋体" w:hint="eastAsia"/>
          <w:color w:val="000000"/>
          <w:kern w:val="0"/>
          <w:szCs w:val="21"/>
        </w:rPr>
        <w:t>董事长带队对瓮安县进行了实地回访考察。</w:t>
      </w:r>
    </w:p>
    <w:p w14:paraId="38F896ED"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t>2012年5月14日，</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向瓮安县国库集中收付中心汇款人民币1,000万元作为合同履约保证金，5月15日瓮安县政府举行签约仪式，李某某代表公司签字，瓮安县政府加盖公章，5月18日</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加盖公章。</w:t>
      </w:r>
    </w:p>
    <w:p w14:paraId="33C2E78D"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t>2012年5月18日，</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第四届董事会第23次会议审议通过《关于投资贵州瓮安聚磷酸等高新磷复肥及配套磷化工项目》的议案，5月22日</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股票因重大事项停牌。</w:t>
      </w:r>
    </w:p>
    <w:p w14:paraId="5739E3D0"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t>2012年5月26日，</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公告了关于签订《聚磷酸等高新磷复肥及配套磷化工项目投资协议书》，5月28日</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股票复牌当天即涨停至收盘。</w:t>
      </w:r>
    </w:p>
    <w:p w14:paraId="62E5895D"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2012年4月13日对投资瓮安磷矿项目形成了动议，并开始组织实施，5月26日公告该项目投资协议书，约定总投资额为68亿元，是</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2011年12月31日资产总额11.09亿元的6.13倍，该协议对</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的经营、财务均将产生重大影响，且在公告前不为投资者所知悉。因此，</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所公告的瓮安磷矿投资项目属于《证券法》第六十七条第二款第二项规定的“公司的重大投资行为”，在公司公告前属于《证券法》第七十五条规定的内幕信息，内幕信息敏感期为2012年4月13日至5月26日。</w:t>
      </w:r>
    </w:p>
    <w:p w14:paraId="1AD396B8"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t>二、李某华知悉内幕信息的有关情况</w:t>
      </w:r>
    </w:p>
    <w:p w14:paraId="4249D3D4"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lastRenderedPageBreak/>
        <w:t>李某某全程参与了</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瓮安磷矿投资项目的初期考察、评估、谈判及投资决策过程；其女李某华时任</w:t>
      </w:r>
      <w:proofErr w:type="gramStart"/>
      <w:r w:rsidRPr="0015582D">
        <w:rPr>
          <w:rFonts w:ascii="宋体" w:eastAsia="宋体" w:hAnsi="宋体" w:cs="宋体" w:hint="eastAsia"/>
          <w:color w:val="333333"/>
          <w:kern w:val="0"/>
          <w:szCs w:val="21"/>
        </w:rPr>
        <w:t>芭田股份财务部客账</w:t>
      </w:r>
      <w:proofErr w:type="gramEnd"/>
      <w:r w:rsidRPr="0015582D">
        <w:rPr>
          <w:rFonts w:ascii="宋体" w:eastAsia="宋体" w:hAnsi="宋体" w:cs="宋体" w:hint="eastAsia"/>
          <w:color w:val="333333"/>
          <w:kern w:val="0"/>
          <w:szCs w:val="21"/>
        </w:rPr>
        <w:t>会计，知道其在贵州谈项目，并于2012年5月14日复核了</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支付给瓮安县的合同履约保证金。李某华通过履行自己的工作职责，不迟于2012年5月14日知悉</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瓮安磷矿投资项目取得实质性进展的情况。</w:t>
      </w:r>
    </w:p>
    <w:p w14:paraId="255054B1"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000000"/>
          <w:kern w:val="0"/>
          <w:szCs w:val="21"/>
        </w:rPr>
        <w:t>三、涉案账户资金、交易及联络情况</w:t>
      </w:r>
    </w:p>
    <w:p w14:paraId="15CDDAA0"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t>国信证券深圳振华路营业部王立账户（深圳股东代码00XXXXXX50）于2011年8月14日开户，该账户属王立个人所有，相关手续由其本人办理，账户资金来源于其本人多年积蓄。</w:t>
      </w:r>
    </w:p>
    <w:p w14:paraId="1548FB2D"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t>王立系李某华的丈夫，二人2012年5月14日晚曾有电话联系，在此之前，王立账户共发生3次资金转入，每次金额均在2万元以下；当晚与李某华通话后，王立账户分别于5月15日、17日转入4万元、8万元，全部用于购买</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股票。2012年5月15日至21日期间，王立账户持续买入</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股票17,200股，买入金额140,137.00元，单日买入量较以往放大；2012年5月30日卖出11,100股，2013年2月25日将所剩</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股票全部卖出。经计算，王立账户2012年5月15日至21日交易</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股票实际获利8,990.87元（扣除交易费用）。</w:t>
      </w:r>
    </w:p>
    <w:p w14:paraId="2BD8B907"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t>上述违法事实，有询问笔录、证券账户交易记录、情况说明、会议记录等证据证明，足以认定。</w:t>
      </w:r>
    </w:p>
    <w:p w14:paraId="343F068E"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t>我局认为，王立在2012年5月14日与其妻李某华联系后，于5月15日至21日交易</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股票的行为，违反了《证券法》第七十六条的规定，构成了《证券法》第二百零二条所述违法行为。王立应当对该违法行为承担责任，是该违法行为的责任人。</w:t>
      </w:r>
    </w:p>
    <w:p w14:paraId="70EB3439"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t>本案《行政处罚事先告知书》送达后，当事人王立提交了书面陈述、申辩意见，我局进行了复核。</w:t>
      </w:r>
    </w:p>
    <w:p w14:paraId="0A3F6938"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t>王立提出，其买卖</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股票是根据个人判断，和李某华通电话是谈生活琐事，没有谈及支付合同履约金；2012年5月15日至21日购买</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股票，是这段时间有空隙关注购买的，和以前交易习惯一样，与支付合同履约金无关，买卖和内幕信息敏感期在同一时间是巧合，不存在知道内幕信息后进行股票交易。</w:t>
      </w:r>
    </w:p>
    <w:p w14:paraId="3DB43C38"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t>我局经复核认为，根据询问笔录、交易记录等证据材料，王立账户2012年5月14日后资金变化及买入</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股票的行为与其平时交易习惯不符，却与联系时点及内幕信息的形成、发展一致，且王立对利用内幕信息交易</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股票曾予自认，其申辩所提“个人判断”、“巧合”没有证据支持，不能排除利用内幕信息从事相关交易。王立的陈述申辩意见不成立，不予采纳。根据王立违法行为的事实、性质、情节与社会危害程度，依据《证券法》第二百零二条的规定，我局决定：</w:t>
      </w:r>
    </w:p>
    <w:p w14:paraId="467716FF"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t>对王立2012年5月15至21日交易</w:t>
      </w:r>
      <w:proofErr w:type="gramStart"/>
      <w:r w:rsidRPr="0015582D">
        <w:rPr>
          <w:rFonts w:ascii="宋体" w:eastAsia="宋体" w:hAnsi="宋体" w:cs="宋体" w:hint="eastAsia"/>
          <w:color w:val="333333"/>
          <w:kern w:val="0"/>
          <w:szCs w:val="21"/>
        </w:rPr>
        <w:t>芭田股份</w:t>
      </w:r>
      <w:proofErr w:type="gramEnd"/>
      <w:r w:rsidRPr="0015582D">
        <w:rPr>
          <w:rFonts w:ascii="宋体" w:eastAsia="宋体" w:hAnsi="宋体" w:cs="宋体" w:hint="eastAsia"/>
          <w:color w:val="333333"/>
          <w:kern w:val="0"/>
          <w:szCs w:val="21"/>
        </w:rPr>
        <w:t>股票的行为，处以3万元罚款。</w:t>
      </w:r>
    </w:p>
    <w:p w14:paraId="61BA08A1"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t>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３个月内向有管辖权的人民法院提起行政诉讼。复议和诉讼期间，上述决定不停止执行。</w:t>
      </w:r>
    </w:p>
    <w:p w14:paraId="38E9FA15"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t> </w:t>
      </w:r>
    </w:p>
    <w:p w14:paraId="032BB932" w14:textId="77777777" w:rsidR="0015582D" w:rsidRPr="0015582D" w:rsidRDefault="0015582D" w:rsidP="0015582D">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lastRenderedPageBreak/>
        <w:t> </w:t>
      </w:r>
    </w:p>
    <w:p w14:paraId="3F6C642B" w14:textId="77777777" w:rsidR="0015582D" w:rsidRPr="0015582D" w:rsidRDefault="0015582D" w:rsidP="0015582D">
      <w:pPr>
        <w:widowControl/>
        <w:shd w:val="clear" w:color="auto" w:fill="FFFFFF"/>
        <w:spacing w:before="120" w:after="120" w:line="315" w:lineRule="atLeast"/>
        <w:ind w:right="137"/>
        <w:jc w:val="righ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t>深圳证监局</w:t>
      </w:r>
    </w:p>
    <w:p w14:paraId="3C4B9785" w14:textId="77777777" w:rsidR="0015582D" w:rsidRPr="0015582D" w:rsidRDefault="0015582D" w:rsidP="0015582D">
      <w:pPr>
        <w:widowControl/>
        <w:shd w:val="clear" w:color="auto" w:fill="FFFFFF"/>
        <w:spacing w:before="120" w:after="120" w:line="315" w:lineRule="atLeast"/>
        <w:ind w:right="32"/>
        <w:jc w:val="right"/>
        <w:rPr>
          <w:rFonts w:ascii="宋体" w:eastAsia="宋体" w:hAnsi="宋体" w:cs="宋体" w:hint="eastAsia"/>
          <w:color w:val="333333"/>
          <w:kern w:val="0"/>
          <w:szCs w:val="21"/>
        </w:rPr>
      </w:pPr>
      <w:r w:rsidRPr="0015582D">
        <w:rPr>
          <w:rFonts w:ascii="宋体" w:eastAsia="宋体" w:hAnsi="宋体" w:cs="宋体" w:hint="eastAsia"/>
          <w:color w:val="333333"/>
          <w:kern w:val="0"/>
          <w:szCs w:val="21"/>
        </w:rPr>
        <w:t> 2014年3月3日</w:t>
      </w:r>
    </w:p>
    <w:p w14:paraId="068CB41D"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82D"/>
    <w:rsid w:val="0015582D"/>
    <w:rsid w:val="0099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B8B3"/>
  <w15:chartTrackingRefBased/>
  <w15:docId w15:val="{CA19E297-60BE-4716-A360-16B3614F4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582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5718">
      <w:bodyDiv w:val="1"/>
      <w:marLeft w:val="0"/>
      <w:marRight w:val="0"/>
      <w:marTop w:val="0"/>
      <w:marBottom w:val="0"/>
      <w:divBdr>
        <w:top w:val="none" w:sz="0" w:space="0" w:color="auto"/>
        <w:left w:val="none" w:sz="0" w:space="0" w:color="auto"/>
        <w:bottom w:val="none" w:sz="0" w:space="0" w:color="auto"/>
        <w:right w:val="none" w:sz="0" w:space="0" w:color="auto"/>
      </w:divBdr>
      <w:divsChild>
        <w:div w:id="968701613">
          <w:marLeft w:val="0"/>
          <w:marRight w:val="0"/>
          <w:marTop w:val="0"/>
          <w:marBottom w:val="0"/>
          <w:divBdr>
            <w:top w:val="none" w:sz="0" w:space="23" w:color="auto"/>
            <w:left w:val="none" w:sz="0" w:space="31" w:color="auto"/>
            <w:bottom w:val="single" w:sz="12" w:space="11" w:color="CCCCCC"/>
            <w:right w:val="none" w:sz="0" w:space="31" w:color="auto"/>
          </w:divBdr>
        </w:div>
        <w:div w:id="36047160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2021-10-05T16:52:00Z</dcterms:created>
  <dcterms:modified xsi:type="dcterms:W3CDTF">2021-10-05T16:52:00Z</dcterms:modified>
</cp:coreProperties>
</file>