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0"/>
      </w:tblGrid>
      <w:tr w:rsidR="00164A4F" w:rsidRPr="00164A4F" w14:paraId="73C2ACE5" w14:textId="77777777" w:rsidTr="00164A4F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164A4F" w:rsidRPr="00164A4F" w14:paraId="15597571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8116DC" w14:textId="77777777" w:rsidR="00164A4F" w:rsidRPr="00164A4F" w:rsidRDefault="00164A4F" w:rsidP="00164A4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164A4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索 引 号:</w:t>
                  </w:r>
                  <w:r w:rsidRPr="00164A4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40000895X/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56C1E6" w14:textId="77777777" w:rsidR="00164A4F" w:rsidRPr="00164A4F" w:rsidRDefault="00164A4F" w:rsidP="00164A4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164A4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分类:</w:t>
                  </w:r>
                  <w:r w:rsidRPr="00164A4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综合政务 ; 其他</w:t>
                  </w:r>
                </w:p>
              </w:tc>
            </w:tr>
          </w:tbl>
          <w:p w14:paraId="23FB1E35" w14:textId="77777777" w:rsidR="00164A4F" w:rsidRPr="00164A4F" w:rsidRDefault="00164A4F" w:rsidP="00164A4F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164A4F" w:rsidRPr="00164A4F" w14:paraId="2937459C" w14:textId="77777777" w:rsidTr="00164A4F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164A4F" w:rsidRPr="00164A4F" w14:paraId="1171A575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6FBEA3" w14:textId="77777777" w:rsidR="00164A4F" w:rsidRPr="00164A4F" w:rsidRDefault="00164A4F" w:rsidP="00164A4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164A4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发布机构:</w:t>
                  </w:r>
                  <w:r w:rsidRPr="00164A4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湖南局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F126FD" w14:textId="77777777" w:rsidR="00164A4F" w:rsidRPr="00164A4F" w:rsidRDefault="00164A4F" w:rsidP="00164A4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164A4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发文日期:</w:t>
                  </w:r>
                  <w:r w:rsidRPr="00164A4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2015年11月23日</w:t>
                  </w:r>
                </w:p>
              </w:tc>
            </w:tr>
          </w:tbl>
          <w:p w14:paraId="4FE5428F" w14:textId="77777777" w:rsidR="00164A4F" w:rsidRPr="00164A4F" w:rsidRDefault="00164A4F" w:rsidP="00164A4F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164A4F" w:rsidRPr="00164A4F" w14:paraId="7D866EE5" w14:textId="77777777" w:rsidTr="00164A4F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64D75" w14:textId="77777777" w:rsidR="00164A4F" w:rsidRPr="00164A4F" w:rsidRDefault="00164A4F" w:rsidP="00164A4F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  <w:r w:rsidRPr="00164A4F">
              <w:rPr>
                <w:rFonts w:ascii="宋体" w:eastAsia="宋体" w:hAnsi="宋体" w:cs="宋体"/>
                <w:b/>
                <w:bCs/>
                <w:color w:val="686868"/>
                <w:kern w:val="0"/>
                <w:sz w:val="18"/>
                <w:szCs w:val="18"/>
              </w:rPr>
              <w:t>名　　称:</w:t>
            </w:r>
            <w:r w:rsidRPr="00164A4F"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  <w:t> 中国证券监督管理委员会湖南监管局行政处罚决定书</w:t>
            </w:r>
          </w:p>
        </w:tc>
      </w:tr>
      <w:tr w:rsidR="00164A4F" w:rsidRPr="00164A4F" w14:paraId="7F31AC41" w14:textId="77777777" w:rsidTr="00164A4F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164A4F" w:rsidRPr="00164A4F" w14:paraId="0782691E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594EE3" w14:textId="77777777" w:rsidR="00164A4F" w:rsidRPr="00164A4F" w:rsidRDefault="00164A4F" w:rsidP="00164A4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164A4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文　　号:</w:t>
                  </w:r>
                  <w:r w:rsidRPr="00164A4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[2015]4号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343281" w14:textId="77777777" w:rsidR="00164A4F" w:rsidRPr="00164A4F" w:rsidRDefault="00164A4F" w:rsidP="00164A4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164A4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主 题 词:</w:t>
                  </w:r>
                </w:p>
              </w:tc>
            </w:tr>
          </w:tbl>
          <w:p w14:paraId="310746BE" w14:textId="77777777" w:rsidR="00164A4F" w:rsidRPr="00164A4F" w:rsidRDefault="00164A4F" w:rsidP="00164A4F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</w:tbl>
    <w:p w14:paraId="2FAA3386" w14:textId="77777777" w:rsidR="00164A4F" w:rsidRPr="00164A4F" w:rsidRDefault="00164A4F" w:rsidP="00164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A4F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17DD2F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4" o:title=""/>
          </v:shape>
          <w:control r:id="rId5" w:name="对象 1" w:shapeid="_x0000_i1025"/>
        </w:object>
      </w:r>
    </w:p>
    <w:p w14:paraId="2F87638A" w14:textId="77777777" w:rsidR="00164A4F" w:rsidRPr="00164A4F" w:rsidRDefault="00164A4F" w:rsidP="00164A4F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164A4F">
        <w:rPr>
          <w:rFonts w:ascii="黑体" w:eastAsia="黑体" w:hAnsi="黑体" w:cs="宋体" w:hint="eastAsia"/>
          <w:b/>
          <w:bCs/>
          <w:color w:val="FF0000"/>
          <w:kern w:val="0"/>
          <w:sz w:val="36"/>
          <w:szCs w:val="36"/>
        </w:rPr>
        <w:t>中国证券监督管理委员会湖南监管局行政处罚决定书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</w:p>
    <w:p w14:paraId="78026006" w14:textId="77777777" w:rsidR="00164A4F" w:rsidRPr="00164A4F" w:rsidRDefault="00164A4F" w:rsidP="00164A4F">
      <w:pPr>
        <w:widowControl/>
        <w:shd w:val="clear" w:color="auto" w:fill="FFFFFF"/>
        <w:spacing w:line="408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当事人：王俊义，男，1980年2月10日出生，住址：江苏省苏州市吴中区。</w:t>
      </w:r>
    </w:p>
    <w:p w14:paraId="0E2ABD8B" w14:textId="77777777" w:rsidR="00164A4F" w:rsidRPr="00164A4F" w:rsidRDefault="00164A4F" w:rsidP="00164A4F">
      <w:pPr>
        <w:widowControl/>
        <w:shd w:val="clear" w:color="auto" w:fill="FFFFFF"/>
        <w:spacing w:line="408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依据《中华人民共和国证券法》（以下简称《证券法》）的有关规定，我局对王俊义内幕交易苏州天马精细化学品股份有限公司（以下简称天马精化）股票一案进行了立案调查、审理，并依法向当事人告知了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作出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行政处罚的事实、理由、依据及当事人依法享有的权利，当事人王俊义未提出陈述、申辩意见，也未要求听证。本案现已调查、审理终结。</w:t>
      </w:r>
    </w:p>
    <w:p w14:paraId="18B63E9D" w14:textId="77777777" w:rsidR="00164A4F" w:rsidRPr="00164A4F" w:rsidRDefault="00164A4F" w:rsidP="00164A4F">
      <w:pPr>
        <w:widowControl/>
        <w:shd w:val="clear" w:color="auto" w:fill="FFFFFF"/>
        <w:spacing w:line="408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经查明，王俊义实施了内幕交易天马精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化股票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的行为，具体事实如下：</w:t>
      </w:r>
    </w:p>
    <w:p w14:paraId="228CBA98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2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一、内幕信息的形成、公开和传递过程</w:t>
      </w:r>
    </w:p>
    <w:p w14:paraId="0BDF1D7B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2014年初，天马精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化决定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向保健品行业进行战略转型，并开始与福建省力菲克药业有限公司（以下简称“力菲克”）、上海康麦斯保健品有限公司（以下简称“康麦斯”）进行接触。</w:t>
      </w:r>
    </w:p>
    <w:p w14:paraId="097ABD5F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lastRenderedPageBreak/>
        <w:t>力菲克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：经磋商及互访，2014年10月，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highlight w:val="yellow"/>
        </w:rPr>
        <w:t>天马精化的实际控制人天马集团的董事长徐某华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在天马集团董事会上非正式通报天马精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化准备并购力菲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克；11月29日，力菲克董事长兼总经理许某赤到访天马集团，洽谈并购合作，初步形成合作意向；12月中旬，许某赤再次前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往天马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集团洽谈并购事项。</w:t>
      </w:r>
    </w:p>
    <w:p w14:paraId="44BF9624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康麦斯、福建南海岸生物工程股份有限公司（以下简称“南海岸”，系康麦斯母公司）：2014年9月16日，康麦斯向天马精化以电子邮件方式发送了洽谈的保密协议；随后康麦斯与天马精化洽谈并购事宜；12月初，天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化开始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与南海岸董事长陈某真联系；12月25日，陈某真等人前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往天马精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化洽谈并购事宜。</w:t>
      </w:r>
    </w:p>
    <w:p w14:paraId="04EFB880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2014年12月25日，天马精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化股票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出现异动，天马精化收盘后即向交易所申请停牌； 2014年12月26日，天马精化因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筹划非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公开发行股票及原有募集资金变更使用事项停牌。</w:t>
      </w:r>
    </w:p>
    <w:p w14:paraId="7B85BCAB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2015年2月2日，天马精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化发布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《天马精化终止筹划重大事项暨股票复牌的公告》，称公司决定终止本次收购南海岸及其下属多家子公司资产的实施，且决定拟以自筹资金的方式完成收购力菲克股权，并按照一般的对外投资程序进行对外公告。</w:t>
      </w:r>
    </w:p>
    <w:p w14:paraId="54A3F8D6" w14:textId="77777777" w:rsidR="00164A4F" w:rsidRPr="00164A4F" w:rsidRDefault="00164A4F" w:rsidP="00164A4F">
      <w:pPr>
        <w:widowControl/>
        <w:shd w:val="clear" w:color="auto" w:fill="FFFFFF"/>
        <w:spacing w:line="408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综上，</w:t>
      </w:r>
      <w:r w:rsidRPr="00164A4F">
        <w:rPr>
          <w:rFonts w:ascii="微软雅黑" w:eastAsia="微软雅黑" w:hAnsi="微软雅黑" w:cs="宋体" w:hint="eastAsia"/>
          <w:kern w:val="0"/>
          <w:sz w:val="30"/>
          <w:szCs w:val="30"/>
        </w:rPr>
        <w:t>该次拟收购力菲克、南海岸的事项属于《证券法》第六十七第二款第（二）项规定的“重大的购置财产的决</w:t>
      </w:r>
      <w:r w:rsidRPr="00164A4F">
        <w:rPr>
          <w:rFonts w:ascii="微软雅黑" w:eastAsia="微软雅黑" w:hAnsi="微软雅黑" w:cs="宋体" w:hint="eastAsia"/>
          <w:kern w:val="0"/>
          <w:sz w:val="30"/>
          <w:szCs w:val="30"/>
        </w:rPr>
        <w:lastRenderedPageBreak/>
        <w:t>定”，上述事项属于法定内幕信息，敏感期为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2014年9月16日至2014年12月26日</w:t>
      </w:r>
      <w:r w:rsidRPr="00164A4F">
        <w:rPr>
          <w:rFonts w:ascii="微软雅黑" w:eastAsia="微软雅黑" w:hAnsi="微软雅黑" w:cs="宋体" w:hint="eastAsia"/>
          <w:kern w:val="0"/>
          <w:sz w:val="30"/>
          <w:szCs w:val="30"/>
        </w:rPr>
        <w:t>，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徐某华为该内幕信息的知情人。</w:t>
      </w:r>
    </w:p>
    <w:p w14:paraId="318E0861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王俊义系徐某华的专职司机，徐某华需用车就与王俊义联系，在车上打电话或谈事也不会回避，属于与徐某华关系密切的人员；且王俊义与徐某华在2014年9月16日至2014年12月26日期间存在频繁的电话联系（经统计为29次电话联系）、工作接触，故王俊义存在获取该内幕信息的可能性。</w:t>
      </w:r>
    </w:p>
    <w:p w14:paraId="30E43486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2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二、王俊义控制相关账户交易“天马精化”股票的情况</w:t>
      </w:r>
    </w:p>
    <w:p w14:paraId="3DBFD6DD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在2014年9月16日至2014年12月26日期间，王俊义通过手机实际操控了王俊义、路某灵、吴某青三个账户，多次交易“天马精化”股票，王俊义、路某灵账户内资金为王俊义所有，吴某青账户内资金为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张某乐与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吴某青所有。</w:t>
      </w:r>
    </w:p>
    <w:p w14:paraId="03A2C27E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截至停牌日：</w:t>
      </w:r>
      <w:r w:rsidRPr="00164A4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王俊义账户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持有天马精化市值为504,108元，持股数量为6.84万股，天马精化持股市值占账户总市值的100%，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至调查日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（2015年6月18日，下同）约获利-5万元；</w:t>
      </w:r>
      <w:r w:rsidRPr="00164A4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路某灵账户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持有天马精化市值为451,044元，持股数量为6.02万股，天马精化持股市值占账户总市值的100%，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至调查日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约获利-7.24万元；</w:t>
      </w:r>
      <w:r w:rsidRPr="00164A4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吴某青账户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持有天马精化市值为3,276,590元，持股数量为41.74万股，天马精化持股市值占账户总市值的95.64%，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至调查日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约获利-26.1万元。</w:t>
      </w:r>
    </w:p>
    <w:p w14:paraId="160C05F6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2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三、王俊义交易天马精</w:t>
      </w:r>
      <w:proofErr w:type="gramStart"/>
      <w:r w:rsidRPr="00164A4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化股票</w:t>
      </w:r>
      <w:proofErr w:type="gramEnd"/>
      <w:r w:rsidRPr="00164A4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的行为明显异常</w:t>
      </w:r>
    </w:p>
    <w:p w14:paraId="664D6BF5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lastRenderedPageBreak/>
        <w:t>王俊义控制吴某青、王俊义、路某灵三个账户交易天马精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化股票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的行为，与内幕信息的形成、变化过程高度吻合，与王俊义平常的交易习惯明显背离，明显异常。具体如下：</w:t>
      </w:r>
    </w:p>
    <w:p w14:paraId="43337BAF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1.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买入天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化股票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的行为与内幕信息的形成高度一致。王俊义操纵上述三个账户在2014年11月底12月初大量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买入天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马精化股票，该期间许某赤到访天马精化洽谈并购事宜。</w:t>
      </w:r>
    </w:p>
    <w:p w14:paraId="291CAEB5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2.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买入天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马精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化股票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的行为与日常交易习惯背离。截至天马停牌日，吴某青账户持有天马精化市值占账户总市值的95.24%，王俊义、路某灵账户截至</w:t>
      </w:r>
      <w:proofErr w:type="gramStart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停牌日</w:t>
      </w:r>
      <w:proofErr w:type="gramEnd"/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全仓持有天马精化股票，买入意愿强烈，与王俊义通常持有几只股票的习惯明显背离。</w:t>
      </w:r>
    </w:p>
    <w:p w14:paraId="4C673031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以上违法事实，有相关工商登记资料、询问笔录、证券账户资料、银行账户资料、通讯记录资料等证据证明，足以认定。</w:t>
      </w:r>
    </w:p>
    <w:p w14:paraId="2DB0AADC" w14:textId="77777777" w:rsidR="00164A4F" w:rsidRPr="00164A4F" w:rsidRDefault="00164A4F" w:rsidP="00164A4F">
      <w:pPr>
        <w:widowControl/>
        <w:shd w:val="clear" w:color="auto" w:fill="FFFFFF"/>
        <w:spacing w:line="570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我局认为，上述天马精化拟收购南海岸、力菲克的信息属于法定内幕消息，王俊义的上述行为违反了《证券法》第七十三条，构成了《证券法》第二百零二条所述的行为。根据当事人违法行为的事实、性质、情节与社会危害程度，依据《证券法》第二百零二条的规定，我局决定：对王俊义处以10万元罚款。</w:t>
      </w:r>
    </w:p>
    <w:p w14:paraId="6D977257" w14:textId="77777777" w:rsidR="00164A4F" w:rsidRPr="00164A4F" w:rsidRDefault="00164A4F" w:rsidP="00164A4F">
      <w:pPr>
        <w:widowControl/>
        <w:shd w:val="clear" w:color="auto" w:fill="FFFFFF"/>
        <w:spacing w:line="408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上述当事人应自收到本处罚决定书之日起15日内，将罚没款汇交中国证券监督管理委员会（开户银行：中信银行总行营</w:t>
      </w: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lastRenderedPageBreak/>
        <w:t>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向有管辖权的人民法院提起行政诉讼。复议和诉讼期间，上述决定不停止执行。</w:t>
      </w:r>
    </w:p>
    <w:p w14:paraId="660A6B30" w14:textId="77777777" w:rsidR="00164A4F" w:rsidRPr="00164A4F" w:rsidRDefault="00164A4F" w:rsidP="00164A4F">
      <w:pPr>
        <w:widowControl/>
        <w:shd w:val="clear" w:color="auto" w:fill="FFFFFF"/>
        <w:spacing w:line="408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38BF0CBF" w14:textId="77777777" w:rsidR="00164A4F" w:rsidRPr="00164A4F" w:rsidRDefault="00164A4F" w:rsidP="00164A4F">
      <w:pPr>
        <w:widowControl/>
        <w:shd w:val="clear" w:color="auto" w:fill="FFFFFF"/>
        <w:spacing w:line="408" w:lineRule="atLeast"/>
        <w:ind w:right="450" w:firstLine="600"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湖南证监局</w:t>
      </w:r>
    </w:p>
    <w:p w14:paraId="1458BBFA" w14:textId="77777777" w:rsidR="00164A4F" w:rsidRPr="00164A4F" w:rsidRDefault="00164A4F" w:rsidP="00164A4F">
      <w:pPr>
        <w:widowControl/>
        <w:shd w:val="clear" w:color="auto" w:fill="FFFFFF"/>
        <w:spacing w:line="408" w:lineRule="atLeast"/>
        <w:ind w:firstLine="600"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64A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2015年11月12日</w:t>
      </w:r>
    </w:p>
    <w:p w14:paraId="3729C7D0" w14:textId="77777777" w:rsidR="00A074B3" w:rsidRDefault="00A074B3"/>
    <w:sectPr w:rsidR="00A0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4F"/>
    <w:rsid w:val="000D2505"/>
    <w:rsid w:val="00164A4F"/>
    <w:rsid w:val="002B72B8"/>
    <w:rsid w:val="00A0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B284"/>
  <w15:chartTrackingRefBased/>
  <w15:docId w15:val="{3243B9C7-9556-4076-A8E4-44107C0B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4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069">
          <w:marLeft w:val="0"/>
          <w:marRight w:val="0"/>
          <w:marTop w:val="0"/>
          <w:marBottom w:val="0"/>
          <w:divBdr>
            <w:top w:val="single" w:sz="6" w:space="8" w:color="B5B5B5"/>
            <w:left w:val="single" w:sz="6" w:space="0" w:color="B5B5B5"/>
            <w:bottom w:val="single" w:sz="6" w:space="8" w:color="B5B5B5"/>
            <w:right w:val="single" w:sz="6" w:space="0" w:color="B5B5B5"/>
          </w:divBdr>
          <w:divsChild>
            <w:div w:id="853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856F961-340A-11D0-A96B-00C04FD705A2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2021-10-03T13:46:00Z</dcterms:created>
  <dcterms:modified xsi:type="dcterms:W3CDTF">2021-10-03T15:02:00Z</dcterms:modified>
</cp:coreProperties>
</file>