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309" w14:textId="77777777" w:rsidR="00C6718E" w:rsidRPr="00C6718E" w:rsidRDefault="00C6718E" w:rsidP="00C6718E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C6718E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中国证券监督管理委员会湖南监管局行政处罚决定书[2018]1号</w:t>
      </w:r>
    </w:p>
    <w:p w14:paraId="4921E2BB" w14:textId="77777777" w:rsidR="00C6718E" w:rsidRPr="00C6718E" w:rsidRDefault="00C6718E" w:rsidP="00C6718E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C6718E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时间：2018-06-08 来源：</w:t>
      </w:r>
    </w:p>
    <w:p w14:paraId="3403FE32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事人：彭照峰，男，1963年4月1日出生，住址：山东省烟台市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莱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山区。</w:t>
      </w:r>
    </w:p>
    <w:p w14:paraId="183B8AF9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依据《中华人民共和国证券法》（以下简称《证券法》）的有关规定，我局对彭照峰内幕交易江苏常铝铝业股份有限公司（以下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简称常铝股份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）股票一案进行了立案调查、审理，并依法向当事人告知了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作出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行政处罚的事实、理由、依据及当事人依法享有的权利，当事人提交了书面陈述、申辩材料。应当事人的申请，我局举行了听证会，听取了当事人的陈述、申辩意见。本案现已调查、审理终结。</w:t>
      </w:r>
    </w:p>
    <w:p w14:paraId="3F4F3EE2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经查明，彭照峰存在以下违法事实：</w:t>
      </w:r>
    </w:p>
    <w:p w14:paraId="5E2C486E" w14:textId="77777777" w:rsidR="00C6718E" w:rsidRPr="00C6718E" w:rsidRDefault="00C6718E" w:rsidP="00C6718E">
      <w:pPr>
        <w:widowControl/>
        <w:shd w:val="clear" w:color="auto" w:fill="FFFFFF"/>
        <w:ind w:firstLine="602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一、内幕信息形成和公开过程</w:t>
      </w:r>
    </w:p>
    <w:p w14:paraId="63E3861D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2016年6月</w:t>
      </w: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12</w:t>
      </w: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日，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董事会秘书孙某某在国金证券龚某引荐下，与方源资本（上海）股权投资有限公司（以下简称方源资本）投前业务董事张某见面，双方就重组初步达成共识。</w:t>
      </w:r>
    </w:p>
    <w:p w14:paraId="2A9D04CA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2016年7月1日，孙某某、龚某、方源资本郑某一行3人来冰科医疗实地考察，与董事长彭照峰在办公室见面，双方对于重组事情都比较感兴趣，表达了进一步沟通的意愿。</w:t>
      </w:r>
    </w:p>
    <w:p w14:paraId="64CD95B1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2016年7月13日，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董事长张某、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董秘孙某某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，国金证券常某某、龚某，方源资本张某和郑某，一行6人再次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>来到冰科医疗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与彭照峰单独见面，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就常铝股份收购冰科医疗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达成一致意见，约定具体的内容可以后面再谈。后面的谈判的具体过程，主要由郑某、张某具体推进。方源资本郑某考虑到</w:t>
      </w: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  <w:highlight w:val="yellow"/>
        </w:rPr>
        <w:t>彭照峰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  <w:highlight w:val="yellow"/>
        </w:rPr>
        <w:t>是冰科医疗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  <w:highlight w:val="yellow"/>
        </w:rPr>
        <w:t>创始人和现任董事长</w:t>
      </w: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，对于公司业务、人员管理和公司估值具有重要影响，将谈判的进展情况告知彭照峰。</w:t>
      </w: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通讯记录显示2016年7月15日至9月8日期间郑某和彭照峰电话联系55次，其中彭照峰主叫31次，被叫24次。</w:t>
      </w:r>
    </w:p>
    <w:p w14:paraId="3DF49F1D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2016年7月25日，国金证券龚某将合作协议电子文档发给方源资本张某，张某又转给郑某和方源资本合伙人赵某，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拟13倍估值，5.89亿元，业绩对赌两年分别为4500万元、6000万元利润的条件，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收购冰科医疗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100%股权，赵某回复邮件，明确说不同意。随后，双方继续就协议内容进行沟通。</w:t>
      </w:r>
    </w:p>
    <w:p w14:paraId="6C88E004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2016年8月4日，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张某、孙某某在国金证券常某某、龚某的陪同下到方源资本拜访，方源资本张某、郑某、赵某一起出面接待，主要是谈估值的问题。会后，常某打电话给方源资本张某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转达常铝股份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同意将估值提高到18倍。</w:t>
      </w:r>
    </w:p>
    <w:p w14:paraId="5A06FA67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2016年9月7日，郑某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收到常铝股份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孙某某发过来的最新稿框架协议，给出18倍估值，大概8.1亿元，业绩对赌两年4500万元、6000万元利润，方源资本认可了这份协议。</w:t>
      </w:r>
    </w:p>
    <w:p w14:paraId="58C1327C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2016年9月8日，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冰科医疗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、</w:t>
      </w:r>
      <w:proofErr w:type="gramStart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常铝股份</w:t>
      </w:r>
      <w:proofErr w:type="gramEnd"/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分别发布《重大事项停牌公告》、《关于筹划发行股份及支付现金购买资产事项的停牌公告》，9月9日正式停牌。</w:t>
      </w:r>
    </w:p>
    <w:p w14:paraId="06BA9C90" w14:textId="77777777" w:rsidR="00C6718E" w:rsidRPr="00C6718E" w:rsidRDefault="00C6718E" w:rsidP="00C6718E">
      <w:pPr>
        <w:widowControl/>
        <w:shd w:val="clear" w:color="auto" w:fill="FFFFFF"/>
        <w:ind w:firstLine="600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上述常铝股份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发行股份及支付现金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购买冰科医疗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股权的事项，根据《证券法》第七十五条第一款的规定，属于法定内幕信息。该内幕信息敏感期为2016年8月4日至2016年9月8日，彭照峰为该内幕信息的知情人。彭照峰从2016年7月1日开始就直接参与了相关工作，并且后续都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知悉常铝股份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重组并购谈判进程。</w:t>
      </w:r>
    </w:p>
    <w:p w14:paraId="4014E7CD" w14:textId="77777777" w:rsidR="00C6718E" w:rsidRPr="00C6718E" w:rsidRDefault="00C6718E" w:rsidP="00C6718E">
      <w:pPr>
        <w:widowControl/>
        <w:shd w:val="clear" w:color="auto" w:fill="FFFFFF"/>
        <w:ind w:firstLine="602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二、彭照峰内幕交易“常铝股份”情况</w:t>
      </w:r>
    </w:p>
    <w:p w14:paraId="7D0D72BE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在2016年8</w:t>
      </w: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月22日</w:t>
      </w:r>
      <w:r w:rsidRPr="00C6718E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至2016年9月8日期间，彭照峰通过</w:t>
      </w: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安排其配偶孙某荣操作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李某美账户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、朋友郭某操作其本人实名账户以及郭某庭、于某芝账户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买入常铝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股份股票，四个账户合计买入4,660,527股，成交金额47,376,649.83元，经深交所计算亏损4,102,158.13元。</w:t>
      </w:r>
    </w:p>
    <w:p w14:paraId="07F7E9F9" w14:textId="77777777" w:rsidR="00C6718E" w:rsidRPr="00C6718E" w:rsidRDefault="00C6718E" w:rsidP="00C6718E">
      <w:pPr>
        <w:widowControl/>
        <w:shd w:val="clear" w:color="auto" w:fill="FFFFFF"/>
        <w:ind w:firstLine="602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1、李某美账户</w:t>
      </w:r>
    </w:p>
    <w:p w14:paraId="4CD7AE2D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该证券账户于2016年8月31日，通过彭照峰本人建行烟台支行账号6214882190166777，银证转账汇入共计3600万元资金。内幕敏感期内，该账户共计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买入常铝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股份3,510,527股，成交金额35,967,849.83元，经深交所计算，账户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交易常铝股份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亏损2,724,861.1元。</w:t>
      </w:r>
    </w:p>
    <w:p w14:paraId="0941E172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2、</w:t>
      </w:r>
      <w:r w:rsidRPr="00C6718E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郭某证券账户</w:t>
      </w:r>
    </w:p>
    <w:p w14:paraId="3F7297DF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该证券账户700万元资金起源于彭照峰本人建行银行账户资金。内幕敏感期内，2016年8月22日至8月29日间，该账户操作人郭某根据彭照峰的安排合计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买入常铝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股份680,000</w:t>
      </w: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股，成交金额674.08万元，经深交所计算亏损828,120.46元。</w:t>
      </w:r>
    </w:p>
    <w:p w14:paraId="2A392E77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3、</w:t>
      </w:r>
      <w:r w:rsidRPr="00C6718E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于某芝证券账户</w:t>
      </w:r>
    </w:p>
    <w:p w14:paraId="6EB846A5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该账户400万元资金起源于彭照峰本人建行银行账户资金。内幕敏感期内，该账户操作人郭某根据彭照峰的安排合计买入320,000股，成交金额319.8万元，经深交所计算，账户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交易常铝股份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亏损417,777.2元。</w:t>
      </w:r>
    </w:p>
    <w:p w14:paraId="2E7B29B8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4、</w:t>
      </w:r>
      <w:r w:rsidRPr="00C6718E">
        <w:rPr>
          <w:rFonts w:ascii="宋体" w:eastAsia="宋体" w:hAnsi="宋体" w:cs="宋体" w:hint="eastAsia"/>
          <w:b/>
          <w:bCs/>
          <w:color w:val="333333"/>
          <w:kern w:val="0"/>
          <w:sz w:val="30"/>
          <w:szCs w:val="30"/>
        </w:rPr>
        <w:t>郭某庭证券账户</w:t>
      </w:r>
    </w:p>
    <w:p w14:paraId="45FC4266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该账户400万元资金起源于彭照峰本人建行银行账户资金。内幕敏感期内，该账户操作人郭某根据彭照峰的安排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买入常铝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股份150,000股，成交金额147万元，经深交所计算，账户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交易常铝股份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亏损131,399.37元。</w:t>
      </w:r>
    </w:p>
    <w:p w14:paraId="798C12A0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以上违法事实，有相关工商登记资料、询问笔录、证券账户资料、银行账户资料、通讯记录资料等证据证明，足以认定。</w:t>
      </w:r>
    </w:p>
    <w:p w14:paraId="0DB38096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我局认为，彭照峰的上述行为违反了《证券法》第七十三条，构成了《证券法》第二百零二条所述内幕交易行为。</w:t>
      </w:r>
    </w:p>
    <w:p w14:paraId="3A58A2BB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听证中，彭照峰代理人提出如下申辩意见：第一，其个人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在冰科医疗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持股比例很小仅4%多一点，是挂名董事长，不是法定代表人，并没有参与重组的深度谈判，并未全部知悉方源资本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和冰科医疗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的重组过程，购买“常铝股份”是基于重组后会有良好的发展前景和长期投资价值。第二，彭照峰深刻认识到</w:t>
      </w: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内幕交易的危害性和法律严肃性，希望考虑其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交易常铝股份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实际亏损巨大，恳请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酌情其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减免行政处罚。</w:t>
      </w:r>
    </w:p>
    <w:p w14:paraId="7567A829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复核，我局认为：第一，彭照峰未参与谈判全过程，未全部知悉重组过程，并不能否定其是内幕知情人员，必须遵守不能买卖相关证券品种的法定义务，对此申辩意见，我局不予采纳。第二，我局在调查中未发现彭照峰具有《中华人民共和国行政处罚法》规定的从轻或减轻行政处罚的情节，且内幕交易金额巨大，我局对其申请酌情减免处罚的意见不予采纳。</w:t>
      </w:r>
    </w:p>
    <w:p w14:paraId="24AB30FF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根据当事人违法行为的事实、性质、情节与社会危害程度，依据《证券法》第二百零二条的规定，我局决定：对彭照峰处以60万元罚款。</w:t>
      </w:r>
    </w:p>
    <w:p w14:paraId="5683631A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上述当事人应自收到本处罚决定书之日起15日内，将罚没款汇交中国证券监督管理委员会（财政</w:t>
      </w:r>
      <w:proofErr w:type="gramStart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汇缴专户</w:t>
      </w:r>
      <w:proofErr w:type="gramEnd"/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），开户银行：中信银行总行营业部，账号：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097DCCB1" w14:textId="77777777" w:rsidR="00C6718E" w:rsidRPr="00C6718E" w:rsidRDefault="00C6718E" w:rsidP="00C6718E">
      <w:pPr>
        <w:widowControl/>
        <w:shd w:val="clear" w:color="auto" w:fill="FFFFFF"/>
        <w:ind w:firstLine="60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A225986" w14:textId="77777777" w:rsidR="00C6718E" w:rsidRPr="00C6718E" w:rsidRDefault="00C6718E" w:rsidP="00C6718E">
      <w:pPr>
        <w:widowControl/>
        <w:shd w:val="clear" w:color="auto" w:fill="FFFFFF"/>
        <w:ind w:right="450" w:firstLine="60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湖南证监局</w:t>
      </w:r>
    </w:p>
    <w:p w14:paraId="52D13E7F" w14:textId="77777777" w:rsidR="00C6718E" w:rsidRPr="00C6718E" w:rsidRDefault="00C6718E" w:rsidP="00C6718E">
      <w:pPr>
        <w:widowControl/>
        <w:shd w:val="clear" w:color="auto" w:fill="FFFFFF"/>
        <w:wordWrap w:val="0"/>
        <w:ind w:firstLine="600"/>
        <w:jc w:val="righ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18E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2018年6月1日</w:t>
      </w:r>
    </w:p>
    <w:p w14:paraId="03BB2954" w14:textId="77777777" w:rsidR="00A074B3" w:rsidRDefault="00A074B3"/>
    <w:sectPr w:rsidR="00A0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8E"/>
    <w:rsid w:val="00915424"/>
    <w:rsid w:val="00A074B3"/>
    <w:rsid w:val="00C6718E"/>
    <w:rsid w:val="00F2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08F1"/>
  <w15:chartTrackingRefBased/>
  <w15:docId w15:val="{65355BBA-D16F-494D-BB0D-144E4165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437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233977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2021-10-03T13:35:00Z</dcterms:created>
  <dcterms:modified xsi:type="dcterms:W3CDTF">2021-10-03T15:22:00Z</dcterms:modified>
</cp:coreProperties>
</file>