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A6D1" w14:textId="77777777" w:rsidR="000307F1" w:rsidRPr="000307F1" w:rsidRDefault="000307F1" w:rsidP="000307F1">
      <w:pPr>
        <w:widowControl/>
        <w:shd w:val="clear" w:color="auto" w:fill="FFFFFF"/>
        <w:spacing w:line="525" w:lineRule="atLeast"/>
        <w:jc w:val="center"/>
        <w:rPr>
          <w:rFonts w:ascii="微软雅黑" w:eastAsia="微软雅黑" w:hAnsi="微软雅黑" w:cs="宋体"/>
          <w:b/>
          <w:bCs/>
          <w:color w:val="0C5CB1"/>
          <w:kern w:val="0"/>
          <w:sz w:val="30"/>
          <w:szCs w:val="30"/>
        </w:rPr>
      </w:pPr>
      <w:r w:rsidRPr="000307F1">
        <w:rPr>
          <w:rFonts w:ascii="微软雅黑" w:eastAsia="微软雅黑" w:hAnsi="微软雅黑" w:cs="宋体" w:hint="eastAsia"/>
          <w:b/>
          <w:bCs/>
          <w:color w:val="0C5CB1"/>
          <w:kern w:val="0"/>
          <w:sz w:val="30"/>
          <w:szCs w:val="30"/>
        </w:rPr>
        <w:t>中国证券监督管理委员会辽宁监管局行政处罚决定书〔2015〕1号（杨泉）</w:t>
      </w:r>
    </w:p>
    <w:p w14:paraId="018F804A" w14:textId="77777777" w:rsidR="000307F1" w:rsidRPr="000307F1" w:rsidRDefault="000307F1" w:rsidP="000307F1">
      <w:pPr>
        <w:widowControl/>
        <w:shd w:val="clear" w:color="auto" w:fill="FFFFFF"/>
        <w:jc w:val="center"/>
        <w:rPr>
          <w:rFonts w:ascii="宋体" w:eastAsia="宋体" w:hAnsi="宋体" w:cs="宋体" w:hint="eastAsia"/>
          <w:color w:val="888888"/>
          <w:kern w:val="0"/>
          <w:sz w:val="18"/>
          <w:szCs w:val="18"/>
        </w:rPr>
      </w:pPr>
      <w:r w:rsidRPr="000307F1">
        <w:rPr>
          <w:rFonts w:ascii="宋体" w:eastAsia="宋体" w:hAnsi="宋体" w:cs="宋体" w:hint="eastAsia"/>
          <w:color w:val="888888"/>
          <w:kern w:val="0"/>
          <w:sz w:val="18"/>
          <w:szCs w:val="18"/>
        </w:rPr>
        <w:t>时间：2015-07-08 来源：</w:t>
      </w:r>
    </w:p>
    <w:p w14:paraId="79393A9F"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当事人：杨泉，女，1962年6月出生，住址：江苏省南京市江宁区。</w:t>
      </w:r>
    </w:p>
    <w:p w14:paraId="238AD841"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依据《中华人民共和国证券法》（以下简称《证券法》）的有关规定，我局对杨泉内幕交易江苏汇鸿股份有限公司（以下简称汇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或公司）股票行为进行了立案调查、审理，并依法向当事人告知了</w:t>
      </w:r>
      <w:proofErr w:type="gramStart"/>
      <w:r w:rsidRPr="000307F1">
        <w:rPr>
          <w:rFonts w:ascii="宋体" w:eastAsia="宋体" w:hAnsi="宋体" w:cs="宋体" w:hint="eastAsia"/>
          <w:color w:val="333333"/>
          <w:kern w:val="0"/>
          <w:szCs w:val="21"/>
        </w:rPr>
        <w:t>作出</w:t>
      </w:r>
      <w:proofErr w:type="gramEnd"/>
      <w:r w:rsidRPr="000307F1">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2097099C"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经查明，杨</w:t>
      </w:r>
      <w:proofErr w:type="gramStart"/>
      <w:r w:rsidRPr="000307F1">
        <w:rPr>
          <w:rFonts w:ascii="宋体" w:eastAsia="宋体" w:hAnsi="宋体" w:cs="宋体" w:hint="eastAsia"/>
          <w:color w:val="333333"/>
          <w:kern w:val="0"/>
          <w:szCs w:val="21"/>
        </w:rPr>
        <w:t>泉存在</w:t>
      </w:r>
      <w:proofErr w:type="gramEnd"/>
      <w:r w:rsidRPr="000307F1">
        <w:rPr>
          <w:rFonts w:ascii="宋体" w:eastAsia="宋体" w:hAnsi="宋体" w:cs="宋体" w:hint="eastAsia"/>
          <w:color w:val="333333"/>
          <w:kern w:val="0"/>
          <w:szCs w:val="21"/>
        </w:rPr>
        <w:t>以下违法事实：</w:t>
      </w:r>
    </w:p>
    <w:p w14:paraId="5D5870E6"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一、内幕信息的形成过程及认定</w:t>
      </w:r>
    </w:p>
    <w:p w14:paraId="24F00F7B"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2014年6月4日，汇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发布《重大资产重组停牌公告》称，公司控股股东江苏汇鸿国际集团有限公司（以下简称汇鸿集团）为解决与公司存在的同业竞争问题，拟对公司进行重大资产重组。2014年7月4日，汇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发布《重大资产重组进展公告》称，初步确定本次重大资产重组的基本内容是上市公司通过发行股份购买汇鸿集团等主体的相关资产。在上述公告前，汇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已于2014年5月20日公告称因筹划重大事项当日开市起停牌。</w:t>
      </w:r>
    </w:p>
    <w:p w14:paraId="288EB90D"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停牌前，汇鸿集团唐某、张某和陈某3人商议过对汇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进行重组事宜并由陈某负责对外联系工作。2014年5月15日上午，陈某与华泰联合证券投行部项目负责人平某电话沟通了重组工作。2014年5月19日下午，在汇鸿集团总部召开了第一次启动重组集团整体上市会议，参会人员有唐某、张某、陈某和平某。</w:t>
      </w:r>
    </w:p>
    <w:p w14:paraId="065DF9A0"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汇鸿集团主导的汇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发行股份购买汇鸿集团等相关主体资产实现集团整体上市，足以对上市公司股票价格产生较大影响，在公开前属于《证券法》第七十五条规定的内幕信息，该内幕信息形成时间最迟不晚于汇鸿集团陈某与华泰联合证券投行部项目负责人平某电话沟通重组事宜之日，即2014年5月15日。汇鸿集团唐某为内幕信息知情人。杨泉与唐某为夫妻关系。</w:t>
      </w:r>
    </w:p>
    <w:p w14:paraId="5E3E10B1" w14:textId="77777777" w:rsidR="000307F1" w:rsidRPr="000307F1" w:rsidRDefault="000307F1" w:rsidP="000307F1">
      <w:pPr>
        <w:widowControl/>
        <w:shd w:val="clear" w:color="auto" w:fill="FFFFFF"/>
        <w:spacing w:line="315" w:lineRule="atLeast"/>
        <w:ind w:firstLine="412"/>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二、杨泉交易汇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股票情况</w:t>
      </w:r>
    </w:p>
    <w:p w14:paraId="0E133E88"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“杨泉”账户于1996年8月5日开立于中</w:t>
      </w:r>
      <w:proofErr w:type="gramStart"/>
      <w:r w:rsidRPr="000307F1">
        <w:rPr>
          <w:rFonts w:ascii="宋体" w:eastAsia="宋体" w:hAnsi="宋体" w:cs="宋体" w:hint="eastAsia"/>
          <w:color w:val="333333"/>
          <w:kern w:val="0"/>
          <w:szCs w:val="21"/>
        </w:rPr>
        <w:t>信建投证券</w:t>
      </w:r>
      <w:proofErr w:type="gramEnd"/>
      <w:r w:rsidRPr="000307F1">
        <w:rPr>
          <w:rFonts w:ascii="宋体" w:eastAsia="宋体" w:hAnsi="宋体" w:cs="宋体" w:hint="eastAsia"/>
          <w:color w:val="333333"/>
          <w:kern w:val="0"/>
          <w:szCs w:val="21"/>
        </w:rPr>
        <w:t>股份有限公司南京江宁金箔路证券营业部，资金账号502**438，由杨泉本人使用。</w:t>
      </w:r>
    </w:p>
    <w:p w14:paraId="13528DEC"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“杨泉”账户2014年5月16日以4.07元买入汇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股票20,000股，成交金额81,400元，2015年1月23日卖出，实际盈利11,155.40元。</w:t>
      </w:r>
    </w:p>
    <w:p w14:paraId="611B5825"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上述违法事实，有账户开户资料、交易明细、当事人询问笔录等证据证明，足以认定。</w:t>
      </w:r>
    </w:p>
    <w:p w14:paraId="7111733B"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我局认为，汇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重大资产重组事项在公开前属于《证券法》第七十五条规定的内幕信息。杨泉在上述内幕信息公开前买入汇</w:t>
      </w:r>
      <w:proofErr w:type="gramStart"/>
      <w:r w:rsidRPr="000307F1">
        <w:rPr>
          <w:rFonts w:ascii="宋体" w:eastAsia="宋体" w:hAnsi="宋体" w:cs="宋体" w:hint="eastAsia"/>
          <w:color w:val="333333"/>
          <w:kern w:val="0"/>
          <w:szCs w:val="21"/>
        </w:rPr>
        <w:t>鸿股份</w:t>
      </w:r>
      <w:proofErr w:type="gramEnd"/>
      <w:r w:rsidRPr="000307F1">
        <w:rPr>
          <w:rFonts w:ascii="宋体" w:eastAsia="宋体" w:hAnsi="宋体" w:cs="宋体" w:hint="eastAsia"/>
          <w:color w:val="333333"/>
          <w:kern w:val="0"/>
          <w:szCs w:val="21"/>
        </w:rPr>
        <w:t>股票，交易行为与内幕信息基本吻合。杨泉的上述行为违反了《证券法》第七十三条、第七十六条的规定，构成《证券法》第二百零二条所述行为。</w:t>
      </w:r>
    </w:p>
    <w:p w14:paraId="457E9EF0"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根据当事人违法行为的事实、性质、情节与社会危害程度，依据《证券法》第二百零二条，我局决定：没收杨</w:t>
      </w:r>
      <w:proofErr w:type="gramStart"/>
      <w:r w:rsidRPr="000307F1">
        <w:rPr>
          <w:rFonts w:ascii="宋体" w:eastAsia="宋体" w:hAnsi="宋体" w:cs="宋体" w:hint="eastAsia"/>
          <w:color w:val="333333"/>
          <w:kern w:val="0"/>
          <w:szCs w:val="21"/>
        </w:rPr>
        <w:t>泉违法</w:t>
      </w:r>
      <w:proofErr w:type="gramEnd"/>
      <w:r w:rsidRPr="000307F1">
        <w:rPr>
          <w:rFonts w:ascii="宋体" w:eastAsia="宋体" w:hAnsi="宋体" w:cs="宋体" w:hint="eastAsia"/>
          <w:color w:val="333333"/>
          <w:kern w:val="0"/>
          <w:szCs w:val="21"/>
        </w:rPr>
        <w:t>所得11,155.40元，并处以罚款30,000元。</w:t>
      </w:r>
    </w:p>
    <w:p w14:paraId="25A42472"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辽宁监管局备案。当事人如果对本处罚决定不服，可在收到本处罚决定书之日起60日内向中国证券监督</w:t>
      </w:r>
      <w:r w:rsidRPr="000307F1">
        <w:rPr>
          <w:rFonts w:ascii="宋体" w:eastAsia="宋体" w:hAnsi="宋体" w:cs="宋体" w:hint="eastAsia"/>
          <w:color w:val="333333"/>
          <w:kern w:val="0"/>
          <w:szCs w:val="21"/>
        </w:rPr>
        <w:lastRenderedPageBreak/>
        <w:t>管理委员会申请行政复议，也可在收到本处罚决定书之日起6个月内向有管辖权的人民法院提起行政诉讼。复议和诉讼期间，上述决定不停止执行。</w:t>
      </w:r>
    </w:p>
    <w:p w14:paraId="2516F94A"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 </w:t>
      </w:r>
    </w:p>
    <w:p w14:paraId="7D66577B"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 xml:space="preserve">　　　　　　　　　　　　　　　　　　　　　</w:t>
      </w:r>
    </w:p>
    <w:p w14:paraId="5A371473" w14:textId="77777777" w:rsidR="000307F1" w:rsidRPr="000307F1" w:rsidRDefault="000307F1" w:rsidP="000307F1">
      <w:pPr>
        <w:widowControl/>
        <w:shd w:val="clear" w:color="auto" w:fill="FFFFFF"/>
        <w:spacing w:line="315" w:lineRule="atLeast"/>
        <w:ind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 </w:t>
      </w:r>
    </w:p>
    <w:p w14:paraId="0E1868E8" w14:textId="77777777" w:rsidR="000307F1" w:rsidRPr="000307F1" w:rsidRDefault="000307F1" w:rsidP="000307F1">
      <w:pPr>
        <w:widowControl/>
        <w:shd w:val="clear" w:color="auto" w:fill="FFFFFF"/>
        <w:spacing w:line="315" w:lineRule="atLeast"/>
        <w:ind w:right="658"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 xml:space="preserve">　　　　　　　　　　　　　　　　　　　　　　　　  　  辽宁证监局</w:t>
      </w:r>
    </w:p>
    <w:p w14:paraId="597D39B0" w14:textId="77777777" w:rsidR="000307F1" w:rsidRPr="000307F1" w:rsidRDefault="000307F1" w:rsidP="000307F1">
      <w:pPr>
        <w:widowControl/>
        <w:shd w:val="clear" w:color="auto" w:fill="FFFFFF"/>
        <w:spacing w:line="315" w:lineRule="atLeast"/>
        <w:ind w:right="658" w:firstLine="420"/>
        <w:jc w:val="left"/>
        <w:rPr>
          <w:rFonts w:ascii="宋体" w:eastAsia="宋体" w:hAnsi="宋体" w:cs="宋体" w:hint="eastAsia"/>
          <w:color w:val="333333"/>
          <w:kern w:val="0"/>
          <w:szCs w:val="21"/>
        </w:rPr>
      </w:pPr>
      <w:r w:rsidRPr="000307F1">
        <w:rPr>
          <w:rFonts w:ascii="宋体" w:eastAsia="宋体" w:hAnsi="宋体" w:cs="宋体" w:hint="eastAsia"/>
          <w:color w:val="333333"/>
          <w:kern w:val="0"/>
          <w:szCs w:val="21"/>
        </w:rPr>
        <w:t xml:space="preserve">　　　　　　　　　　　　　　　　　　　　 　　　　　  2015年6月8日</w:t>
      </w:r>
      <w:r w:rsidRPr="000307F1">
        <w:rPr>
          <w:rFonts w:ascii="宋体" w:eastAsia="宋体" w:hAnsi="宋体" w:cs="宋体" w:hint="eastAsia"/>
          <w:color w:val="333333"/>
          <w:spacing w:val="-8"/>
          <w:kern w:val="0"/>
          <w:szCs w:val="21"/>
        </w:rPr>
        <w:t xml:space="preserve">　　</w:t>
      </w:r>
    </w:p>
    <w:p w14:paraId="3C103DBF" w14:textId="77777777" w:rsidR="006119A8" w:rsidRDefault="006119A8"/>
    <w:sectPr w:rsidR="0061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F1"/>
    <w:rsid w:val="000307F1"/>
    <w:rsid w:val="0061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BE1C"/>
  <w15:chartTrackingRefBased/>
  <w15:docId w15:val="{D47338B7-9CE8-4CA1-B797-AAECDB00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0307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4124">
      <w:bodyDiv w:val="1"/>
      <w:marLeft w:val="0"/>
      <w:marRight w:val="0"/>
      <w:marTop w:val="0"/>
      <w:marBottom w:val="0"/>
      <w:divBdr>
        <w:top w:val="none" w:sz="0" w:space="0" w:color="auto"/>
        <w:left w:val="none" w:sz="0" w:space="0" w:color="auto"/>
        <w:bottom w:val="none" w:sz="0" w:space="0" w:color="auto"/>
        <w:right w:val="none" w:sz="0" w:space="0" w:color="auto"/>
      </w:divBdr>
      <w:divsChild>
        <w:div w:id="299120360">
          <w:marLeft w:val="0"/>
          <w:marRight w:val="0"/>
          <w:marTop w:val="0"/>
          <w:marBottom w:val="0"/>
          <w:divBdr>
            <w:top w:val="none" w:sz="0" w:space="23" w:color="auto"/>
            <w:left w:val="none" w:sz="0" w:space="31" w:color="auto"/>
            <w:bottom w:val="single" w:sz="12" w:space="11" w:color="CCCCCC"/>
            <w:right w:val="none" w:sz="0" w:space="31" w:color="auto"/>
          </w:divBdr>
        </w:div>
        <w:div w:id="72935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2021-09-28T04:29:00Z</dcterms:created>
  <dcterms:modified xsi:type="dcterms:W3CDTF">2021-09-28T04:30:00Z</dcterms:modified>
</cp:coreProperties>
</file>