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0CA3" w14:textId="77777777" w:rsidR="00016E84" w:rsidRPr="00016E84" w:rsidRDefault="00016E84" w:rsidP="00016E84">
      <w:pPr>
        <w:widowControl/>
        <w:shd w:val="clear" w:color="auto" w:fill="FFFFFF"/>
        <w:spacing w:line="525" w:lineRule="atLeast"/>
        <w:jc w:val="center"/>
        <w:rPr>
          <w:rFonts w:ascii="微软雅黑" w:eastAsia="微软雅黑" w:hAnsi="微软雅黑" w:cs="宋体"/>
          <w:b/>
          <w:bCs/>
          <w:color w:val="0C5CB1"/>
          <w:kern w:val="0"/>
          <w:sz w:val="30"/>
          <w:szCs w:val="30"/>
        </w:rPr>
      </w:pPr>
      <w:r w:rsidRPr="00016E84">
        <w:rPr>
          <w:rFonts w:ascii="微软雅黑" w:eastAsia="微软雅黑" w:hAnsi="微软雅黑" w:cs="宋体" w:hint="eastAsia"/>
          <w:b/>
          <w:bCs/>
          <w:color w:val="0C5CB1"/>
          <w:kern w:val="0"/>
          <w:sz w:val="30"/>
          <w:szCs w:val="30"/>
        </w:rPr>
        <w:t>中国证券监督管理委员会辽宁监管局行政处罚决定书〔2017〕2号（杨延旗）</w:t>
      </w:r>
    </w:p>
    <w:p w14:paraId="7CEA9B7C" w14:textId="77777777" w:rsidR="00016E84" w:rsidRPr="00016E84" w:rsidRDefault="00016E84" w:rsidP="00016E84">
      <w:pPr>
        <w:widowControl/>
        <w:shd w:val="clear" w:color="auto" w:fill="FFFFFF"/>
        <w:jc w:val="center"/>
        <w:rPr>
          <w:rFonts w:ascii="宋体" w:eastAsia="宋体" w:hAnsi="宋体" w:cs="宋体"/>
          <w:color w:val="888888"/>
          <w:kern w:val="0"/>
          <w:sz w:val="18"/>
          <w:szCs w:val="18"/>
        </w:rPr>
      </w:pPr>
      <w:r w:rsidRPr="00016E84">
        <w:rPr>
          <w:rFonts w:ascii="宋体" w:eastAsia="宋体" w:hAnsi="宋体" w:cs="宋体" w:hint="eastAsia"/>
          <w:color w:val="888888"/>
          <w:kern w:val="0"/>
          <w:sz w:val="18"/>
          <w:szCs w:val="18"/>
        </w:rPr>
        <w:t>时间：2017-11-27 来源：</w:t>
      </w:r>
    </w:p>
    <w:p w14:paraId="4F5BCED2"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当事人：杨延旗，女，1973年6月出生，住址：辽宁省鞍山市铁东区。</w:t>
      </w:r>
    </w:p>
    <w:p w14:paraId="101A21FD"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依据《中华人民共和国证券法》（以下简称《证券法》）的有关规定，我局对</w:t>
      </w:r>
      <w:proofErr w:type="gramStart"/>
      <w:r w:rsidRPr="00016E84">
        <w:rPr>
          <w:rFonts w:ascii="宋体" w:eastAsia="宋体" w:hAnsi="宋体" w:cs="宋体" w:hint="eastAsia"/>
          <w:color w:val="333333"/>
          <w:kern w:val="0"/>
          <w:szCs w:val="21"/>
        </w:rPr>
        <w:t>杨延旗内幕</w:t>
      </w:r>
      <w:proofErr w:type="gramEnd"/>
      <w:r w:rsidRPr="00016E84">
        <w:rPr>
          <w:rFonts w:ascii="宋体" w:eastAsia="宋体" w:hAnsi="宋体" w:cs="宋体" w:hint="eastAsia"/>
          <w:color w:val="333333"/>
          <w:kern w:val="0"/>
          <w:szCs w:val="21"/>
        </w:rPr>
        <w:t>交易行为进行了立案调查、审理，并依法向当事人告知了</w:t>
      </w:r>
      <w:proofErr w:type="gramStart"/>
      <w:r w:rsidRPr="00016E84">
        <w:rPr>
          <w:rFonts w:ascii="宋体" w:eastAsia="宋体" w:hAnsi="宋体" w:cs="宋体" w:hint="eastAsia"/>
          <w:color w:val="333333"/>
          <w:kern w:val="0"/>
          <w:szCs w:val="21"/>
        </w:rPr>
        <w:t>作出</w:t>
      </w:r>
      <w:proofErr w:type="gramEnd"/>
      <w:r w:rsidRPr="00016E84">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55969644"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经查明，当事人存在以下违法事实：</w:t>
      </w:r>
    </w:p>
    <w:p w14:paraId="0D0F80C1" w14:textId="77777777" w:rsidR="00016E84" w:rsidRPr="00016E84" w:rsidRDefault="00016E84" w:rsidP="00016E84">
      <w:pPr>
        <w:widowControl/>
        <w:shd w:val="clear" w:color="auto" w:fill="FFFFFF"/>
        <w:spacing w:line="315" w:lineRule="atLeast"/>
        <w:ind w:left="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一、内幕信息的形成与公开过程</w:t>
      </w:r>
    </w:p>
    <w:p w14:paraId="26CB1B9F"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2015年底前，锦州新华龙</w:t>
      </w:r>
      <w:proofErr w:type="gramStart"/>
      <w:r w:rsidRPr="00016E84">
        <w:rPr>
          <w:rFonts w:ascii="宋体" w:eastAsia="宋体" w:hAnsi="宋体" w:cs="宋体" w:hint="eastAsia"/>
          <w:color w:val="333333"/>
          <w:kern w:val="0"/>
          <w:szCs w:val="21"/>
        </w:rPr>
        <w:t>钼</w:t>
      </w:r>
      <w:proofErr w:type="gramEnd"/>
      <w:r w:rsidRPr="00016E84">
        <w:rPr>
          <w:rFonts w:ascii="宋体" w:eastAsia="宋体" w:hAnsi="宋体" w:cs="宋体" w:hint="eastAsia"/>
          <w:color w:val="333333"/>
          <w:kern w:val="0"/>
          <w:szCs w:val="21"/>
        </w:rPr>
        <w:t>业股份有限公司（以下简称新华龙）时任董事长郭某华一直有资产重组的意向；安信证券投行部有北京远程视界集团（以下简称远程视界）的储备项目；华西证券投行部有唐山境界实业有限公司（以下简称唐山境界）的储备项目。</w:t>
      </w:r>
    </w:p>
    <w:p w14:paraId="58EF5C61"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2016年1月18日之前，华西证券陈某向郭某华推荐了唐山境界作为重组对象。</w:t>
      </w:r>
    </w:p>
    <w:p w14:paraId="71B7E939"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1月19日，安信证券范某远在北京向郭某华推荐了远程视界作为重组对象。同日，范某远陪同郭某华与远程视界项目中间人潘某皊面谈远程视界情况，双方表达了互相进一步了解的意向。</w:t>
      </w:r>
    </w:p>
    <w:p w14:paraId="377B36CE"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1月23日，范某远陪同潘某皊赴新华龙实地考察，与郭某华商议股票停牌及下一步重大资产重组的操作事宜。</w:t>
      </w:r>
    </w:p>
    <w:p w14:paraId="0CF2437F"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1月25日，新华龙紧急停牌。1月26日，新华</w:t>
      </w:r>
      <w:proofErr w:type="gramStart"/>
      <w:r w:rsidRPr="00016E84">
        <w:rPr>
          <w:rFonts w:ascii="宋体" w:eastAsia="宋体" w:hAnsi="宋体" w:cs="宋体" w:hint="eastAsia"/>
          <w:color w:val="333333"/>
          <w:kern w:val="0"/>
          <w:szCs w:val="21"/>
        </w:rPr>
        <w:t>龙发布</w:t>
      </w:r>
      <w:proofErr w:type="gramEnd"/>
      <w:r w:rsidRPr="00016E84">
        <w:rPr>
          <w:rFonts w:ascii="宋体" w:eastAsia="宋体" w:hAnsi="宋体" w:cs="宋体" w:hint="eastAsia"/>
          <w:color w:val="333333"/>
          <w:kern w:val="0"/>
          <w:szCs w:val="21"/>
        </w:rPr>
        <w:t>《重大资产重组停牌公告》。4月29日，新华</w:t>
      </w:r>
      <w:proofErr w:type="gramStart"/>
      <w:r w:rsidRPr="00016E84">
        <w:rPr>
          <w:rFonts w:ascii="宋体" w:eastAsia="宋体" w:hAnsi="宋体" w:cs="宋体" w:hint="eastAsia"/>
          <w:color w:val="333333"/>
          <w:kern w:val="0"/>
          <w:szCs w:val="21"/>
        </w:rPr>
        <w:t>龙发布</w:t>
      </w:r>
      <w:proofErr w:type="gramEnd"/>
      <w:r w:rsidRPr="00016E84">
        <w:rPr>
          <w:rFonts w:ascii="宋体" w:eastAsia="宋体" w:hAnsi="宋体" w:cs="宋体" w:hint="eastAsia"/>
          <w:color w:val="333333"/>
          <w:kern w:val="0"/>
          <w:szCs w:val="21"/>
        </w:rPr>
        <w:t>《终止重大资产重组公告》，称初步确定的交易对手方为远程视界和唐山境界。5月3日，新华龙股票复牌。</w:t>
      </w:r>
    </w:p>
    <w:p w14:paraId="45141DA0"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综上，</w:t>
      </w:r>
      <w:proofErr w:type="gramStart"/>
      <w:r w:rsidRPr="00016E84">
        <w:rPr>
          <w:rFonts w:ascii="宋体" w:eastAsia="宋体" w:hAnsi="宋体" w:cs="宋体" w:hint="eastAsia"/>
          <w:color w:val="333333"/>
          <w:kern w:val="0"/>
          <w:szCs w:val="21"/>
        </w:rPr>
        <w:t>新华龙拟进行</w:t>
      </w:r>
      <w:proofErr w:type="gramEnd"/>
      <w:r w:rsidRPr="00016E84">
        <w:rPr>
          <w:rFonts w:ascii="宋体" w:eastAsia="宋体" w:hAnsi="宋体" w:cs="宋体" w:hint="eastAsia"/>
          <w:color w:val="333333"/>
          <w:kern w:val="0"/>
          <w:szCs w:val="21"/>
        </w:rPr>
        <w:t>资产重组，符合《证券法》第六十七条规定的“可能对上市公司股票交易价格产生较大影响的重大事件”，该信息在公开前，属于《证券法》第七十五条第二款第（一）项规定的内幕信息。内幕信息形成不晚于2016年1月19日。</w:t>
      </w:r>
      <w:r w:rsidRPr="00E11D6C">
        <w:rPr>
          <w:rFonts w:ascii="宋体" w:eastAsia="宋体" w:hAnsi="宋体" w:cs="宋体" w:hint="eastAsia"/>
          <w:color w:val="333333"/>
          <w:kern w:val="0"/>
          <w:szCs w:val="21"/>
          <w:highlight w:val="yellow"/>
        </w:rPr>
        <w:t>秦某婧系新华龙时任董事长郭某华配偶，时任新华龙副董事长，为法定内幕信息知情人，且知道郭某华去北京商讨新华龙重组事宜。</w:t>
      </w:r>
    </w:p>
    <w:p w14:paraId="2FC16FB3" w14:textId="77777777" w:rsidR="00016E84" w:rsidRPr="00016E84" w:rsidRDefault="00016E84" w:rsidP="00016E84">
      <w:pPr>
        <w:widowControl/>
        <w:shd w:val="clear" w:color="auto" w:fill="FFFFFF"/>
        <w:spacing w:line="315" w:lineRule="atLeast"/>
        <w:ind w:left="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二、杨延旗交易“新华龙”的情况</w:t>
      </w:r>
    </w:p>
    <w:p w14:paraId="2AE6E113"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E11D6C">
        <w:rPr>
          <w:rFonts w:ascii="宋体" w:eastAsia="宋体" w:hAnsi="宋体" w:cs="宋体" w:hint="eastAsia"/>
          <w:color w:val="333333"/>
          <w:kern w:val="0"/>
          <w:szCs w:val="21"/>
          <w:highlight w:val="yellow"/>
        </w:rPr>
        <w:t>杨延旗系秦某婧弟妹</w:t>
      </w:r>
      <w:r w:rsidRPr="00016E84">
        <w:rPr>
          <w:rFonts w:ascii="宋体" w:eastAsia="宋体" w:hAnsi="宋体" w:cs="宋体" w:hint="eastAsia"/>
          <w:color w:val="333333"/>
          <w:kern w:val="0"/>
          <w:szCs w:val="21"/>
        </w:rPr>
        <w:t>，与秦某婧母亲同住，且与秦某婧之间有大额资金往来。杨延旗作为与知悉内幕信息的秦某婧有密切关系的人员，在内幕信息敏感期内控制“张某霞”账户大量买入“新华龙”，交易行为与本案内幕信息高度吻合，相关交易明显异常。具体交易情况如下：</w:t>
      </w:r>
    </w:p>
    <w:p w14:paraId="76554E78"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张某霞”账户于2016年1月22日先后转入杨延旗自有资金300万元、杨延旗借款500万元，随即买入“新华龙”711,400股，成交金额6,999,685.72元；5月3日全部卖出，成交金额7,514,322.46元，盈利503,229.10元。杨延旗与张某霞均承认由杨延旗控制“张某霞”账户的操作，“张某霞”账户交易资金来源于杨延旗自有资金及其借款，杨延旗为上述交易的实际控制人。</w:t>
      </w:r>
    </w:p>
    <w:p w14:paraId="41B0571E"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上述违法事实，有新华龙公告、证券账户资料、交易流水、银行账户资料、资金划转记录、相关人员询问笔录、情况说明、通讯记录等证据证明，足以认定。</w:t>
      </w:r>
    </w:p>
    <w:p w14:paraId="250AE7C0"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杨延旗的上述行为违反了《证券法》第七十三条、第七十六条第一款的规定，构成了《证券法》第二百零二条所述内幕交易行为。</w:t>
      </w:r>
    </w:p>
    <w:p w14:paraId="2E698007"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lastRenderedPageBreak/>
        <w:t>根据当事人违法行为的事实、性质、情节与社会危害程度，依据《证券法》第二百零二条的规定，我局决定：</w:t>
      </w:r>
    </w:p>
    <w:p w14:paraId="206146C4"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没收杨</w:t>
      </w:r>
      <w:proofErr w:type="gramStart"/>
      <w:r w:rsidRPr="00016E84">
        <w:rPr>
          <w:rFonts w:ascii="宋体" w:eastAsia="宋体" w:hAnsi="宋体" w:cs="宋体" w:hint="eastAsia"/>
          <w:color w:val="333333"/>
          <w:kern w:val="0"/>
          <w:szCs w:val="21"/>
        </w:rPr>
        <w:t>延旗违法</w:t>
      </w:r>
      <w:proofErr w:type="gramEnd"/>
      <w:r w:rsidRPr="00016E84">
        <w:rPr>
          <w:rFonts w:ascii="宋体" w:eastAsia="宋体" w:hAnsi="宋体" w:cs="宋体" w:hint="eastAsia"/>
          <w:color w:val="333333"/>
          <w:kern w:val="0"/>
          <w:szCs w:val="21"/>
        </w:rPr>
        <w:t>所得503,229.10元，并处以1,509,687.30元罚款。</w:t>
      </w:r>
    </w:p>
    <w:p w14:paraId="4EE485D9"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辽宁监管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2FEFBBF6"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 </w:t>
      </w:r>
    </w:p>
    <w:p w14:paraId="1B0A95F3"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 </w:t>
      </w:r>
    </w:p>
    <w:p w14:paraId="00274CFE"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 </w:t>
      </w:r>
    </w:p>
    <w:p w14:paraId="7EC16B36" w14:textId="77777777" w:rsidR="00016E84" w:rsidRPr="00016E84" w:rsidRDefault="00016E84" w:rsidP="00016E84">
      <w:pPr>
        <w:widowControl/>
        <w:shd w:val="clear" w:color="auto" w:fill="FFFFFF"/>
        <w:spacing w:line="315" w:lineRule="atLeast"/>
        <w:ind w:firstLine="420"/>
        <w:jc w:val="left"/>
        <w:rPr>
          <w:rFonts w:ascii="宋体" w:eastAsia="宋体" w:hAnsi="宋体" w:cs="宋体"/>
          <w:color w:val="333333"/>
          <w:kern w:val="0"/>
          <w:szCs w:val="21"/>
        </w:rPr>
      </w:pPr>
      <w:r w:rsidRPr="00016E84">
        <w:rPr>
          <w:rFonts w:ascii="宋体" w:eastAsia="宋体" w:hAnsi="宋体" w:cs="宋体" w:hint="eastAsia"/>
          <w:color w:val="333333"/>
          <w:kern w:val="0"/>
          <w:szCs w:val="21"/>
        </w:rPr>
        <w:t> </w:t>
      </w:r>
    </w:p>
    <w:p w14:paraId="5D3AE6A3" w14:textId="77777777" w:rsidR="00016E84" w:rsidRPr="00016E84" w:rsidRDefault="00016E84" w:rsidP="00016E84">
      <w:pPr>
        <w:widowControl/>
        <w:shd w:val="clear" w:color="auto" w:fill="FFFFFF"/>
        <w:spacing w:line="315" w:lineRule="atLeast"/>
        <w:ind w:right="658" w:firstLine="420"/>
        <w:jc w:val="right"/>
        <w:rPr>
          <w:rFonts w:ascii="宋体" w:eastAsia="宋体" w:hAnsi="宋体" w:cs="宋体"/>
          <w:color w:val="333333"/>
          <w:kern w:val="0"/>
          <w:szCs w:val="21"/>
        </w:rPr>
      </w:pPr>
      <w:r w:rsidRPr="00016E84">
        <w:rPr>
          <w:rFonts w:ascii="宋体" w:eastAsia="宋体" w:hAnsi="宋体" w:cs="宋体" w:hint="eastAsia"/>
          <w:color w:val="333333"/>
          <w:kern w:val="0"/>
          <w:szCs w:val="21"/>
        </w:rPr>
        <w:t>辽宁证监局</w:t>
      </w:r>
    </w:p>
    <w:p w14:paraId="37AED25B" w14:textId="77777777" w:rsidR="00016E84" w:rsidRPr="00016E84" w:rsidRDefault="00016E84" w:rsidP="00016E84">
      <w:pPr>
        <w:widowControl/>
        <w:shd w:val="clear" w:color="auto" w:fill="FFFFFF"/>
        <w:spacing w:line="315" w:lineRule="atLeast"/>
        <w:ind w:firstLine="525"/>
        <w:jc w:val="right"/>
        <w:rPr>
          <w:rFonts w:ascii="宋体" w:eastAsia="宋体" w:hAnsi="宋体" w:cs="宋体"/>
          <w:color w:val="333333"/>
          <w:kern w:val="0"/>
          <w:szCs w:val="21"/>
        </w:rPr>
      </w:pPr>
      <w:r w:rsidRPr="00016E84">
        <w:rPr>
          <w:rFonts w:ascii="宋体" w:eastAsia="宋体" w:hAnsi="宋体" w:cs="宋体" w:hint="eastAsia"/>
          <w:color w:val="333333"/>
          <w:kern w:val="0"/>
          <w:szCs w:val="21"/>
        </w:rPr>
        <w:t>2017年11月21日</w:t>
      </w:r>
    </w:p>
    <w:p w14:paraId="3DE18F62" w14:textId="77777777" w:rsidR="006119A8" w:rsidRDefault="006119A8"/>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FC96" w14:textId="77777777" w:rsidR="003B75F3" w:rsidRDefault="003B75F3" w:rsidP="00E11D6C">
      <w:r>
        <w:separator/>
      </w:r>
    </w:p>
  </w:endnote>
  <w:endnote w:type="continuationSeparator" w:id="0">
    <w:p w14:paraId="5B120E9F" w14:textId="77777777" w:rsidR="003B75F3" w:rsidRDefault="003B75F3" w:rsidP="00E11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D32F6" w14:textId="77777777" w:rsidR="003B75F3" w:rsidRDefault="003B75F3" w:rsidP="00E11D6C">
      <w:r>
        <w:separator/>
      </w:r>
    </w:p>
  </w:footnote>
  <w:footnote w:type="continuationSeparator" w:id="0">
    <w:p w14:paraId="56503112" w14:textId="77777777" w:rsidR="003B75F3" w:rsidRDefault="003B75F3" w:rsidP="00E11D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84"/>
    <w:rsid w:val="00016E84"/>
    <w:rsid w:val="003B75F3"/>
    <w:rsid w:val="006119A8"/>
    <w:rsid w:val="00CE4A89"/>
    <w:rsid w:val="00E11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8DF67"/>
  <w15:chartTrackingRefBased/>
  <w15:docId w15:val="{9B8BD3BA-7FA7-4BA8-9F20-F4C40D78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6E8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11D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11D6C"/>
    <w:rPr>
      <w:sz w:val="18"/>
      <w:szCs w:val="18"/>
    </w:rPr>
  </w:style>
  <w:style w:type="paragraph" w:styleId="a6">
    <w:name w:val="footer"/>
    <w:basedOn w:val="a"/>
    <w:link w:val="a7"/>
    <w:uiPriority w:val="99"/>
    <w:unhideWhenUsed/>
    <w:rsid w:val="00E11D6C"/>
    <w:pPr>
      <w:tabs>
        <w:tab w:val="center" w:pos="4153"/>
        <w:tab w:val="right" w:pos="8306"/>
      </w:tabs>
      <w:snapToGrid w:val="0"/>
      <w:jc w:val="left"/>
    </w:pPr>
    <w:rPr>
      <w:sz w:val="18"/>
      <w:szCs w:val="18"/>
    </w:rPr>
  </w:style>
  <w:style w:type="character" w:customStyle="1" w:styleId="a7">
    <w:name w:val="页脚 字符"/>
    <w:basedOn w:val="a0"/>
    <w:link w:val="a6"/>
    <w:uiPriority w:val="99"/>
    <w:rsid w:val="00E11D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6536">
      <w:bodyDiv w:val="1"/>
      <w:marLeft w:val="0"/>
      <w:marRight w:val="0"/>
      <w:marTop w:val="0"/>
      <w:marBottom w:val="0"/>
      <w:divBdr>
        <w:top w:val="none" w:sz="0" w:space="0" w:color="auto"/>
        <w:left w:val="none" w:sz="0" w:space="0" w:color="auto"/>
        <w:bottom w:val="none" w:sz="0" w:space="0" w:color="auto"/>
        <w:right w:val="none" w:sz="0" w:space="0" w:color="auto"/>
      </w:divBdr>
      <w:divsChild>
        <w:div w:id="541525492">
          <w:marLeft w:val="0"/>
          <w:marRight w:val="0"/>
          <w:marTop w:val="0"/>
          <w:marBottom w:val="0"/>
          <w:divBdr>
            <w:top w:val="none" w:sz="0" w:space="23" w:color="auto"/>
            <w:left w:val="none" w:sz="0" w:space="31" w:color="auto"/>
            <w:bottom w:val="single" w:sz="12" w:space="11" w:color="CCCCCC"/>
            <w:right w:val="none" w:sz="0" w:space="31" w:color="auto"/>
          </w:divBdr>
        </w:div>
        <w:div w:id="149136345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2021-09-28T04:31:00Z</dcterms:created>
  <dcterms:modified xsi:type="dcterms:W3CDTF">2021-09-30T03:13:00Z</dcterms:modified>
</cp:coreProperties>
</file>