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845E6" w14:textId="77777777" w:rsidR="004B436B" w:rsidRPr="004B436B" w:rsidRDefault="004B436B" w:rsidP="004B436B">
      <w:pPr>
        <w:widowControl/>
        <w:shd w:val="clear" w:color="auto" w:fill="FFFFFF"/>
        <w:spacing w:line="525" w:lineRule="atLeast"/>
        <w:jc w:val="center"/>
        <w:rPr>
          <w:rFonts w:ascii="微软雅黑" w:eastAsia="微软雅黑" w:hAnsi="微软雅黑" w:cs="宋体"/>
          <w:b/>
          <w:bCs/>
          <w:color w:val="0C5CB1"/>
          <w:kern w:val="0"/>
          <w:sz w:val="30"/>
          <w:szCs w:val="30"/>
        </w:rPr>
      </w:pPr>
      <w:r w:rsidRPr="004B436B">
        <w:rPr>
          <w:rFonts w:ascii="微软雅黑" w:eastAsia="微软雅黑" w:hAnsi="微软雅黑" w:cs="宋体" w:hint="eastAsia"/>
          <w:b/>
          <w:bCs/>
          <w:color w:val="0C5CB1"/>
          <w:kern w:val="0"/>
          <w:sz w:val="30"/>
          <w:szCs w:val="30"/>
        </w:rPr>
        <w:t>中国证券监督管理委员会辽宁监管局行政处罚决定书〔2017〕4号（杨杰）</w:t>
      </w:r>
    </w:p>
    <w:p w14:paraId="3F8E57C1" w14:textId="77777777" w:rsidR="004B436B" w:rsidRPr="004B436B" w:rsidRDefault="004B436B" w:rsidP="004B436B">
      <w:pPr>
        <w:widowControl/>
        <w:shd w:val="clear" w:color="auto" w:fill="FFFFFF"/>
        <w:jc w:val="center"/>
        <w:rPr>
          <w:rFonts w:ascii="宋体" w:eastAsia="宋体" w:hAnsi="宋体" w:cs="宋体" w:hint="eastAsia"/>
          <w:color w:val="888888"/>
          <w:kern w:val="0"/>
          <w:sz w:val="18"/>
          <w:szCs w:val="18"/>
        </w:rPr>
      </w:pPr>
      <w:r w:rsidRPr="004B436B">
        <w:rPr>
          <w:rFonts w:ascii="宋体" w:eastAsia="宋体" w:hAnsi="宋体" w:cs="宋体" w:hint="eastAsia"/>
          <w:color w:val="888888"/>
          <w:kern w:val="0"/>
          <w:sz w:val="18"/>
          <w:szCs w:val="18"/>
        </w:rPr>
        <w:t>时间：2017-11-27 来源：</w:t>
      </w:r>
    </w:p>
    <w:p w14:paraId="52C960BA" w14:textId="77777777" w:rsidR="004B436B" w:rsidRPr="004B436B" w:rsidRDefault="004B436B" w:rsidP="004B436B">
      <w:pPr>
        <w:widowControl/>
        <w:shd w:val="clear" w:color="auto" w:fill="FFFFFF"/>
        <w:spacing w:line="315" w:lineRule="atLeast"/>
        <w:ind w:firstLine="420"/>
        <w:jc w:val="left"/>
        <w:rPr>
          <w:rFonts w:ascii="宋体" w:eastAsia="宋体" w:hAnsi="宋体" w:cs="宋体" w:hint="eastAsia"/>
          <w:color w:val="333333"/>
          <w:kern w:val="0"/>
          <w:szCs w:val="21"/>
        </w:rPr>
      </w:pPr>
      <w:r w:rsidRPr="004B436B">
        <w:rPr>
          <w:rFonts w:ascii="宋体" w:eastAsia="宋体" w:hAnsi="宋体" w:cs="宋体" w:hint="eastAsia"/>
          <w:color w:val="333333"/>
          <w:kern w:val="0"/>
          <w:szCs w:val="21"/>
        </w:rPr>
        <w:t>当事人：杨杰，女，</w:t>
      </w:r>
      <w:r w:rsidRPr="004B436B">
        <w:rPr>
          <w:rFonts w:ascii="Times New Roman" w:eastAsia="宋体" w:hAnsi="Times New Roman" w:cs="Times New Roman" w:hint="eastAsia"/>
          <w:color w:val="333333"/>
          <w:kern w:val="0"/>
          <w:szCs w:val="21"/>
        </w:rPr>
        <w:t>1966</w:t>
      </w:r>
      <w:r w:rsidRPr="004B436B">
        <w:rPr>
          <w:rFonts w:ascii="宋体" w:eastAsia="宋体" w:hAnsi="宋体" w:cs="宋体" w:hint="eastAsia"/>
          <w:color w:val="333333"/>
          <w:kern w:val="0"/>
          <w:szCs w:val="21"/>
        </w:rPr>
        <w:t>年</w:t>
      </w:r>
      <w:r w:rsidRPr="004B436B">
        <w:rPr>
          <w:rFonts w:ascii="Times New Roman" w:eastAsia="宋体" w:hAnsi="Times New Roman" w:cs="Times New Roman" w:hint="eastAsia"/>
          <w:color w:val="333333"/>
          <w:kern w:val="0"/>
          <w:szCs w:val="21"/>
        </w:rPr>
        <w:t>6</w:t>
      </w:r>
      <w:r w:rsidRPr="004B436B">
        <w:rPr>
          <w:rFonts w:ascii="宋体" w:eastAsia="宋体" w:hAnsi="宋体" w:cs="宋体" w:hint="eastAsia"/>
          <w:color w:val="333333"/>
          <w:kern w:val="0"/>
          <w:szCs w:val="21"/>
        </w:rPr>
        <w:t>月出生，住址：辽宁省沈阳市皇姑区。</w:t>
      </w:r>
    </w:p>
    <w:p w14:paraId="1290A2B4" w14:textId="77777777" w:rsidR="004B436B" w:rsidRPr="004B436B" w:rsidRDefault="004B436B" w:rsidP="004B436B">
      <w:pPr>
        <w:widowControl/>
        <w:shd w:val="clear" w:color="auto" w:fill="FFFFFF"/>
        <w:spacing w:line="315" w:lineRule="atLeast"/>
        <w:ind w:firstLine="420"/>
        <w:jc w:val="left"/>
        <w:rPr>
          <w:rFonts w:ascii="宋体" w:eastAsia="宋体" w:hAnsi="宋体" w:cs="宋体" w:hint="eastAsia"/>
          <w:color w:val="333333"/>
          <w:kern w:val="0"/>
          <w:szCs w:val="21"/>
        </w:rPr>
      </w:pPr>
      <w:r w:rsidRPr="004B436B">
        <w:rPr>
          <w:rFonts w:ascii="宋体" w:eastAsia="宋体" w:hAnsi="宋体" w:cs="宋体" w:hint="eastAsia"/>
          <w:color w:val="333333"/>
          <w:kern w:val="0"/>
          <w:szCs w:val="21"/>
        </w:rPr>
        <w:t>依据《中华人民共和国证券法》（以下简称《证券法》）的有关规定，我局对杨杰内幕交易行为进行了立案调查、审理，并依法向当事人告知了</w:t>
      </w:r>
      <w:proofErr w:type="gramStart"/>
      <w:r w:rsidRPr="004B436B">
        <w:rPr>
          <w:rFonts w:ascii="宋体" w:eastAsia="宋体" w:hAnsi="宋体" w:cs="宋体" w:hint="eastAsia"/>
          <w:color w:val="333333"/>
          <w:kern w:val="0"/>
          <w:szCs w:val="21"/>
        </w:rPr>
        <w:t>作出</w:t>
      </w:r>
      <w:proofErr w:type="gramEnd"/>
      <w:r w:rsidRPr="004B436B">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51BE92C7" w14:textId="77777777" w:rsidR="004B436B" w:rsidRPr="004B436B" w:rsidRDefault="004B436B" w:rsidP="004B436B">
      <w:pPr>
        <w:widowControl/>
        <w:shd w:val="clear" w:color="auto" w:fill="FFFFFF"/>
        <w:spacing w:line="315" w:lineRule="atLeast"/>
        <w:ind w:firstLine="420"/>
        <w:jc w:val="left"/>
        <w:rPr>
          <w:rFonts w:ascii="宋体" w:eastAsia="宋体" w:hAnsi="宋体" w:cs="宋体" w:hint="eastAsia"/>
          <w:color w:val="333333"/>
          <w:kern w:val="0"/>
          <w:szCs w:val="21"/>
        </w:rPr>
      </w:pPr>
      <w:r w:rsidRPr="004B436B">
        <w:rPr>
          <w:rFonts w:ascii="宋体" w:eastAsia="宋体" w:hAnsi="宋体" w:cs="宋体" w:hint="eastAsia"/>
          <w:color w:val="333333"/>
          <w:kern w:val="0"/>
          <w:szCs w:val="21"/>
        </w:rPr>
        <w:t>经查明，当事人存在以下违法事实：</w:t>
      </w:r>
    </w:p>
    <w:p w14:paraId="1711CFC3" w14:textId="77777777" w:rsidR="004B436B" w:rsidRPr="004B436B" w:rsidRDefault="004B436B" w:rsidP="004B436B">
      <w:pPr>
        <w:widowControl/>
        <w:shd w:val="clear" w:color="auto" w:fill="FFFFFF"/>
        <w:spacing w:line="315" w:lineRule="atLeast"/>
        <w:ind w:left="420"/>
        <w:jc w:val="left"/>
        <w:rPr>
          <w:rFonts w:ascii="宋体" w:eastAsia="宋体" w:hAnsi="宋体" w:cs="宋体" w:hint="eastAsia"/>
          <w:color w:val="333333"/>
          <w:kern w:val="0"/>
          <w:szCs w:val="21"/>
        </w:rPr>
      </w:pPr>
      <w:r w:rsidRPr="004B436B">
        <w:rPr>
          <w:rFonts w:ascii="宋体" w:eastAsia="宋体" w:hAnsi="宋体" w:cs="宋体" w:hint="eastAsia"/>
          <w:color w:val="333333"/>
          <w:kern w:val="0"/>
          <w:szCs w:val="21"/>
        </w:rPr>
        <w:t>一、内幕信息的形成与公开过程</w:t>
      </w:r>
    </w:p>
    <w:p w14:paraId="215C1BCC" w14:textId="77777777" w:rsidR="004B436B" w:rsidRPr="004B436B" w:rsidRDefault="004B436B" w:rsidP="004B436B">
      <w:pPr>
        <w:widowControl/>
        <w:shd w:val="clear" w:color="auto" w:fill="FFFFFF"/>
        <w:spacing w:line="315" w:lineRule="atLeast"/>
        <w:ind w:firstLine="420"/>
        <w:jc w:val="left"/>
        <w:rPr>
          <w:rFonts w:ascii="宋体" w:eastAsia="宋体" w:hAnsi="宋体" w:cs="宋体" w:hint="eastAsia"/>
          <w:color w:val="333333"/>
          <w:kern w:val="0"/>
          <w:szCs w:val="21"/>
        </w:rPr>
      </w:pPr>
      <w:r w:rsidRPr="004B436B">
        <w:rPr>
          <w:rFonts w:ascii="Times New Roman" w:eastAsia="宋体" w:hAnsi="Times New Roman" w:cs="Times New Roman" w:hint="eastAsia"/>
          <w:color w:val="333333"/>
          <w:kern w:val="0"/>
          <w:szCs w:val="21"/>
        </w:rPr>
        <w:t>2015</w:t>
      </w:r>
      <w:r w:rsidRPr="004B436B">
        <w:rPr>
          <w:rFonts w:ascii="宋体" w:eastAsia="宋体" w:hAnsi="宋体" w:cs="宋体" w:hint="eastAsia"/>
          <w:color w:val="333333"/>
          <w:kern w:val="0"/>
          <w:szCs w:val="21"/>
        </w:rPr>
        <w:t>年底前，锦州新华龙</w:t>
      </w:r>
      <w:proofErr w:type="gramStart"/>
      <w:r w:rsidRPr="004B436B">
        <w:rPr>
          <w:rFonts w:ascii="宋体" w:eastAsia="宋体" w:hAnsi="宋体" w:cs="宋体" w:hint="eastAsia"/>
          <w:color w:val="333333"/>
          <w:kern w:val="0"/>
          <w:szCs w:val="21"/>
        </w:rPr>
        <w:t>钼</w:t>
      </w:r>
      <w:proofErr w:type="gramEnd"/>
      <w:r w:rsidRPr="004B436B">
        <w:rPr>
          <w:rFonts w:ascii="宋体" w:eastAsia="宋体" w:hAnsi="宋体" w:cs="宋体" w:hint="eastAsia"/>
          <w:color w:val="333333"/>
          <w:kern w:val="0"/>
          <w:szCs w:val="21"/>
        </w:rPr>
        <w:t>业股份有限公司（以下简称新华龙）时任董事长郭某华一直有资产重组的意向；安信证券投行部有北京远程视界集团（以下简称远程视界）的储备项目；华西证券投行部有唐山境界实业有限公司（以下简称唐山境界）的储备项目。</w:t>
      </w:r>
    </w:p>
    <w:p w14:paraId="65A31E2D" w14:textId="77777777" w:rsidR="004B436B" w:rsidRPr="004B436B" w:rsidRDefault="004B436B" w:rsidP="004B436B">
      <w:pPr>
        <w:widowControl/>
        <w:shd w:val="clear" w:color="auto" w:fill="FFFFFF"/>
        <w:spacing w:line="315" w:lineRule="atLeast"/>
        <w:ind w:firstLine="420"/>
        <w:jc w:val="left"/>
        <w:rPr>
          <w:rFonts w:ascii="宋体" w:eastAsia="宋体" w:hAnsi="宋体" w:cs="宋体" w:hint="eastAsia"/>
          <w:color w:val="333333"/>
          <w:kern w:val="0"/>
          <w:szCs w:val="21"/>
        </w:rPr>
      </w:pPr>
      <w:r w:rsidRPr="004B436B">
        <w:rPr>
          <w:rFonts w:ascii="Times New Roman" w:eastAsia="宋体" w:hAnsi="Times New Roman" w:cs="Times New Roman" w:hint="eastAsia"/>
          <w:color w:val="333333"/>
          <w:kern w:val="0"/>
          <w:szCs w:val="21"/>
        </w:rPr>
        <w:t>2016</w:t>
      </w:r>
      <w:r w:rsidRPr="004B436B">
        <w:rPr>
          <w:rFonts w:ascii="宋体" w:eastAsia="宋体" w:hAnsi="宋体" w:cs="宋体" w:hint="eastAsia"/>
          <w:color w:val="333333"/>
          <w:kern w:val="0"/>
          <w:szCs w:val="21"/>
        </w:rPr>
        <w:t>年</w:t>
      </w:r>
      <w:r w:rsidRPr="004B436B">
        <w:rPr>
          <w:rFonts w:ascii="Times New Roman" w:eastAsia="宋体" w:hAnsi="Times New Roman" w:cs="Times New Roman" w:hint="eastAsia"/>
          <w:color w:val="333333"/>
          <w:kern w:val="0"/>
          <w:szCs w:val="21"/>
        </w:rPr>
        <w:t>1</w:t>
      </w:r>
      <w:r w:rsidRPr="004B436B">
        <w:rPr>
          <w:rFonts w:ascii="宋体" w:eastAsia="宋体" w:hAnsi="宋体" w:cs="宋体" w:hint="eastAsia"/>
          <w:color w:val="333333"/>
          <w:kern w:val="0"/>
          <w:szCs w:val="21"/>
        </w:rPr>
        <w:t>月</w:t>
      </w:r>
      <w:r w:rsidRPr="004B436B">
        <w:rPr>
          <w:rFonts w:ascii="Times New Roman" w:eastAsia="宋体" w:hAnsi="Times New Roman" w:cs="Times New Roman" w:hint="eastAsia"/>
          <w:color w:val="333333"/>
          <w:kern w:val="0"/>
          <w:szCs w:val="21"/>
        </w:rPr>
        <w:t>18</w:t>
      </w:r>
      <w:r w:rsidRPr="004B436B">
        <w:rPr>
          <w:rFonts w:ascii="宋体" w:eastAsia="宋体" w:hAnsi="宋体" w:cs="宋体" w:hint="eastAsia"/>
          <w:color w:val="333333"/>
          <w:kern w:val="0"/>
          <w:szCs w:val="21"/>
        </w:rPr>
        <w:t>日之前，华西证券陈某向郭某华推荐了唐山境界作为重组对象。</w:t>
      </w:r>
    </w:p>
    <w:p w14:paraId="3DC97F9C" w14:textId="77777777" w:rsidR="004B436B" w:rsidRPr="004B436B" w:rsidRDefault="004B436B" w:rsidP="004B436B">
      <w:pPr>
        <w:widowControl/>
        <w:shd w:val="clear" w:color="auto" w:fill="FFFFFF"/>
        <w:spacing w:line="315" w:lineRule="atLeast"/>
        <w:ind w:firstLine="420"/>
        <w:jc w:val="left"/>
        <w:rPr>
          <w:rFonts w:ascii="宋体" w:eastAsia="宋体" w:hAnsi="宋体" w:cs="宋体" w:hint="eastAsia"/>
          <w:color w:val="333333"/>
          <w:kern w:val="0"/>
          <w:szCs w:val="21"/>
        </w:rPr>
      </w:pPr>
      <w:r w:rsidRPr="004B436B">
        <w:rPr>
          <w:rFonts w:ascii="Times New Roman" w:eastAsia="宋体" w:hAnsi="Times New Roman" w:cs="Times New Roman" w:hint="eastAsia"/>
          <w:color w:val="333333"/>
          <w:kern w:val="0"/>
          <w:szCs w:val="21"/>
        </w:rPr>
        <w:t>1</w:t>
      </w:r>
      <w:r w:rsidRPr="004B436B">
        <w:rPr>
          <w:rFonts w:ascii="宋体" w:eastAsia="宋体" w:hAnsi="宋体" w:cs="宋体" w:hint="eastAsia"/>
          <w:color w:val="333333"/>
          <w:kern w:val="0"/>
          <w:szCs w:val="21"/>
        </w:rPr>
        <w:t>月</w:t>
      </w:r>
      <w:r w:rsidRPr="004B436B">
        <w:rPr>
          <w:rFonts w:ascii="Times New Roman" w:eastAsia="宋体" w:hAnsi="Times New Roman" w:cs="Times New Roman" w:hint="eastAsia"/>
          <w:color w:val="333333"/>
          <w:kern w:val="0"/>
          <w:szCs w:val="21"/>
        </w:rPr>
        <w:t>19</w:t>
      </w:r>
      <w:r w:rsidRPr="004B436B">
        <w:rPr>
          <w:rFonts w:ascii="宋体" w:eastAsia="宋体" w:hAnsi="宋体" w:cs="宋体" w:hint="eastAsia"/>
          <w:color w:val="333333"/>
          <w:kern w:val="0"/>
          <w:szCs w:val="21"/>
        </w:rPr>
        <w:t>日，安信证券范某远在北京向郭某华推荐了远程视界作为重组对象。同日，范某远陪同郭某华与远程视界项目中间人潘某皊面谈远程视界情况，双方表达了互相进一步了解的意向。</w:t>
      </w:r>
    </w:p>
    <w:p w14:paraId="763166A6" w14:textId="77777777" w:rsidR="004B436B" w:rsidRPr="004B436B" w:rsidRDefault="004B436B" w:rsidP="004B436B">
      <w:pPr>
        <w:widowControl/>
        <w:shd w:val="clear" w:color="auto" w:fill="FFFFFF"/>
        <w:spacing w:line="315" w:lineRule="atLeast"/>
        <w:ind w:firstLine="420"/>
        <w:jc w:val="left"/>
        <w:rPr>
          <w:rFonts w:ascii="宋体" w:eastAsia="宋体" w:hAnsi="宋体" w:cs="宋体" w:hint="eastAsia"/>
          <w:color w:val="333333"/>
          <w:kern w:val="0"/>
          <w:szCs w:val="21"/>
        </w:rPr>
      </w:pPr>
      <w:r w:rsidRPr="004B436B">
        <w:rPr>
          <w:rFonts w:ascii="Times New Roman" w:eastAsia="宋体" w:hAnsi="Times New Roman" w:cs="Times New Roman" w:hint="eastAsia"/>
          <w:color w:val="333333"/>
          <w:kern w:val="0"/>
          <w:szCs w:val="21"/>
        </w:rPr>
        <w:t>1</w:t>
      </w:r>
      <w:r w:rsidRPr="004B436B">
        <w:rPr>
          <w:rFonts w:ascii="宋体" w:eastAsia="宋体" w:hAnsi="宋体" w:cs="宋体" w:hint="eastAsia"/>
          <w:color w:val="333333"/>
          <w:kern w:val="0"/>
          <w:szCs w:val="21"/>
        </w:rPr>
        <w:t>月</w:t>
      </w:r>
      <w:r w:rsidRPr="004B436B">
        <w:rPr>
          <w:rFonts w:ascii="Times New Roman" w:eastAsia="宋体" w:hAnsi="Times New Roman" w:cs="Times New Roman" w:hint="eastAsia"/>
          <w:color w:val="333333"/>
          <w:kern w:val="0"/>
          <w:szCs w:val="21"/>
        </w:rPr>
        <w:t>23</w:t>
      </w:r>
      <w:r w:rsidRPr="004B436B">
        <w:rPr>
          <w:rFonts w:ascii="宋体" w:eastAsia="宋体" w:hAnsi="宋体" w:cs="宋体" w:hint="eastAsia"/>
          <w:color w:val="333333"/>
          <w:kern w:val="0"/>
          <w:szCs w:val="21"/>
        </w:rPr>
        <w:t>日，范某远陪同潘某皊赴新华龙实地考察，与郭某华商议股票停牌及下一步重大资产重组的操作事宜。</w:t>
      </w:r>
    </w:p>
    <w:p w14:paraId="603BEC7B" w14:textId="77777777" w:rsidR="004B436B" w:rsidRPr="004B436B" w:rsidRDefault="004B436B" w:rsidP="004B436B">
      <w:pPr>
        <w:widowControl/>
        <w:shd w:val="clear" w:color="auto" w:fill="FFFFFF"/>
        <w:spacing w:line="315" w:lineRule="atLeast"/>
        <w:ind w:firstLine="420"/>
        <w:jc w:val="left"/>
        <w:rPr>
          <w:rFonts w:ascii="宋体" w:eastAsia="宋体" w:hAnsi="宋体" w:cs="宋体" w:hint="eastAsia"/>
          <w:color w:val="333333"/>
          <w:kern w:val="0"/>
          <w:szCs w:val="21"/>
        </w:rPr>
      </w:pPr>
      <w:r w:rsidRPr="004B436B">
        <w:rPr>
          <w:rFonts w:ascii="Times New Roman" w:eastAsia="宋体" w:hAnsi="Times New Roman" w:cs="Times New Roman" w:hint="eastAsia"/>
          <w:color w:val="333333"/>
          <w:kern w:val="0"/>
          <w:szCs w:val="21"/>
        </w:rPr>
        <w:t>1</w:t>
      </w:r>
      <w:r w:rsidRPr="004B436B">
        <w:rPr>
          <w:rFonts w:ascii="宋体" w:eastAsia="宋体" w:hAnsi="宋体" w:cs="宋体" w:hint="eastAsia"/>
          <w:color w:val="333333"/>
          <w:kern w:val="0"/>
          <w:szCs w:val="21"/>
        </w:rPr>
        <w:t>月</w:t>
      </w:r>
      <w:r w:rsidRPr="004B436B">
        <w:rPr>
          <w:rFonts w:ascii="Times New Roman" w:eastAsia="宋体" w:hAnsi="Times New Roman" w:cs="Times New Roman" w:hint="eastAsia"/>
          <w:color w:val="333333"/>
          <w:kern w:val="0"/>
          <w:szCs w:val="21"/>
        </w:rPr>
        <w:t>25</w:t>
      </w:r>
      <w:r w:rsidRPr="004B436B">
        <w:rPr>
          <w:rFonts w:ascii="宋体" w:eastAsia="宋体" w:hAnsi="宋体" w:cs="宋体" w:hint="eastAsia"/>
          <w:color w:val="333333"/>
          <w:kern w:val="0"/>
          <w:szCs w:val="21"/>
        </w:rPr>
        <w:t>日，新华龙紧急停牌。</w:t>
      </w:r>
      <w:r w:rsidRPr="004B436B">
        <w:rPr>
          <w:rFonts w:ascii="Times New Roman" w:eastAsia="宋体" w:hAnsi="Times New Roman" w:cs="Times New Roman" w:hint="eastAsia"/>
          <w:color w:val="333333"/>
          <w:kern w:val="0"/>
          <w:szCs w:val="21"/>
        </w:rPr>
        <w:t>1</w:t>
      </w:r>
      <w:r w:rsidRPr="004B436B">
        <w:rPr>
          <w:rFonts w:ascii="宋体" w:eastAsia="宋体" w:hAnsi="宋体" w:cs="宋体" w:hint="eastAsia"/>
          <w:color w:val="333333"/>
          <w:kern w:val="0"/>
          <w:szCs w:val="21"/>
        </w:rPr>
        <w:t>月</w:t>
      </w:r>
      <w:r w:rsidRPr="004B436B">
        <w:rPr>
          <w:rFonts w:ascii="Times New Roman" w:eastAsia="宋体" w:hAnsi="Times New Roman" w:cs="Times New Roman" w:hint="eastAsia"/>
          <w:color w:val="333333"/>
          <w:kern w:val="0"/>
          <w:szCs w:val="21"/>
        </w:rPr>
        <w:t>26</w:t>
      </w:r>
      <w:r w:rsidRPr="004B436B">
        <w:rPr>
          <w:rFonts w:ascii="宋体" w:eastAsia="宋体" w:hAnsi="宋体" w:cs="宋体" w:hint="eastAsia"/>
          <w:color w:val="333333"/>
          <w:kern w:val="0"/>
          <w:szCs w:val="21"/>
        </w:rPr>
        <w:t>日，新华</w:t>
      </w:r>
      <w:proofErr w:type="gramStart"/>
      <w:r w:rsidRPr="004B436B">
        <w:rPr>
          <w:rFonts w:ascii="宋体" w:eastAsia="宋体" w:hAnsi="宋体" w:cs="宋体" w:hint="eastAsia"/>
          <w:color w:val="333333"/>
          <w:kern w:val="0"/>
          <w:szCs w:val="21"/>
        </w:rPr>
        <w:t>龙发布</w:t>
      </w:r>
      <w:proofErr w:type="gramEnd"/>
      <w:r w:rsidRPr="004B436B">
        <w:rPr>
          <w:rFonts w:ascii="宋体" w:eastAsia="宋体" w:hAnsi="宋体" w:cs="宋体" w:hint="eastAsia"/>
          <w:color w:val="333333"/>
          <w:kern w:val="0"/>
          <w:szCs w:val="21"/>
        </w:rPr>
        <w:t>《重大资产重组停牌公告》。</w:t>
      </w:r>
      <w:r w:rsidRPr="004B436B">
        <w:rPr>
          <w:rFonts w:ascii="Times New Roman" w:eastAsia="宋体" w:hAnsi="Times New Roman" w:cs="Times New Roman" w:hint="eastAsia"/>
          <w:color w:val="333333"/>
          <w:kern w:val="0"/>
          <w:szCs w:val="21"/>
        </w:rPr>
        <w:t>4</w:t>
      </w:r>
      <w:r w:rsidRPr="004B436B">
        <w:rPr>
          <w:rFonts w:ascii="宋体" w:eastAsia="宋体" w:hAnsi="宋体" w:cs="宋体" w:hint="eastAsia"/>
          <w:color w:val="333333"/>
          <w:kern w:val="0"/>
          <w:szCs w:val="21"/>
        </w:rPr>
        <w:t>月</w:t>
      </w:r>
      <w:r w:rsidRPr="004B436B">
        <w:rPr>
          <w:rFonts w:ascii="Times New Roman" w:eastAsia="宋体" w:hAnsi="Times New Roman" w:cs="Times New Roman" w:hint="eastAsia"/>
          <w:color w:val="333333"/>
          <w:kern w:val="0"/>
          <w:szCs w:val="21"/>
        </w:rPr>
        <w:t>29</w:t>
      </w:r>
      <w:r w:rsidRPr="004B436B">
        <w:rPr>
          <w:rFonts w:ascii="宋体" w:eastAsia="宋体" w:hAnsi="宋体" w:cs="宋体" w:hint="eastAsia"/>
          <w:color w:val="333333"/>
          <w:kern w:val="0"/>
          <w:szCs w:val="21"/>
        </w:rPr>
        <w:t>日，新华</w:t>
      </w:r>
      <w:proofErr w:type="gramStart"/>
      <w:r w:rsidRPr="004B436B">
        <w:rPr>
          <w:rFonts w:ascii="宋体" w:eastAsia="宋体" w:hAnsi="宋体" w:cs="宋体" w:hint="eastAsia"/>
          <w:color w:val="333333"/>
          <w:kern w:val="0"/>
          <w:szCs w:val="21"/>
        </w:rPr>
        <w:t>龙发布</w:t>
      </w:r>
      <w:proofErr w:type="gramEnd"/>
      <w:r w:rsidRPr="004B436B">
        <w:rPr>
          <w:rFonts w:ascii="宋体" w:eastAsia="宋体" w:hAnsi="宋体" w:cs="宋体" w:hint="eastAsia"/>
          <w:color w:val="333333"/>
          <w:kern w:val="0"/>
          <w:szCs w:val="21"/>
        </w:rPr>
        <w:t>《终止重大资产重组公告》，称初步确定的交易对手方为远程视界和唐山境界。</w:t>
      </w:r>
      <w:r w:rsidRPr="004B436B">
        <w:rPr>
          <w:rFonts w:ascii="Times New Roman" w:eastAsia="宋体" w:hAnsi="Times New Roman" w:cs="Times New Roman" w:hint="eastAsia"/>
          <w:color w:val="333333"/>
          <w:kern w:val="0"/>
          <w:szCs w:val="21"/>
        </w:rPr>
        <w:t>5</w:t>
      </w:r>
      <w:r w:rsidRPr="004B436B">
        <w:rPr>
          <w:rFonts w:ascii="宋体" w:eastAsia="宋体" w:hAnsi="宋体" w:cs="宋体" w:hint="eastAsia"/>
          <w:color w:val="333333"/>
          <w:kern w:val="0"/>
          <w:szCs w:val="21"/>
        </w:rPr>
        <w:t>月</w:t>
      </w:r>
      <w:r w:rsidRPr="004B436B">
        <w:rPr>
          <w:rFonts w:ascii="Times New Roman" w:eastAsia="宋体" w:hAnsi="Times New Roman" w:cs="Times New Roman" w:hint="eastAsia"/>
          <w:color w:val="333333"/>
          <w:kern w:val="0"/>
          <w:szCs w:val="21"/>
        </w:rPr>
        <w:t>3</w:t>
      </w:r>
      <w:r w:rsidRPr="004B436B">
        <w:rPr>
          <w:rFonts w:ascii="宋体" w:eastAsia="宋体" w:hAnsi="宋体" w:cs="宋体" w:hint="eastAsia"/>
          <w:color w:val="333333"/>
          <w:kern w:val="0"/>
          <w:szCs w:val="21"/>
        </w:rPr>
        <w:t>日，新华龙股票复牌。</w:t>
      </w:r>
    </w:p>
    <w:p w14:paraId="75EC2663" w14:textId="77777777" w:rsidR="004B436B" w:rsidRPr="004B436B" w:rsidRDefault="004B436B" w:rsidP="004B436B">
      <w:pPr>
        <w:widowControl/>
        <w:shd w:val="clear" w:color="auto" w:fill="FFFFFF"/>
        <w:spacing w:line="315" w:lineRule="atLeast"/>
        <w:ind w:firstLine="420"/>
        <w:jc w:val="left"/>
        <w:rPr>
          <w:rFonts w:ascii="宋体" w:eastAsia="宋体" w:hAnsi="宋体" w:cs="宋体" w:hint="eastAsia"/>
          <w:color w:val="333333"/>
          <w:kern w:val="0"/>
          <w:szCs w:val="21"/>
        </w:rPr>
      </w:pPr>
      <w:r w:rsidRPr="004B436B">
        <w:rPr>
          <w:rFonts w:ascii="宋体" w:eastAsia="宋体" w:hAnsi="宋体" w:cs="宋体" w:hint="eastAsia"/>
          <w:color w:val="333333"/>
          <w:kern w:val="0"/>
          <w:szCs w:val="21"/>
        </w:rPr>
        <w:t>综上，</w:t>
      </w:r>
      <w:proofErr w:type="gramStart"/>
      <w:r w:rsidRPr="004B436B">
        <w:rPr>
          <w:rFonts w:ascii="宋体" w:eastAsia="宋体" w:hAnsi="宋体" w:cs="宋体" w:hint="eastAsia"/>
          <w:color w:val="333333"/>
          <w:kern w:val="0"/>
          <w:szCs w:val="21"/>
        </w:rPr>
        <w:t>新华龙拟进行</w:t>
      </w:r>
      <w:proofErr w:type="gramEnd"/>
      <w:r w:rsidRPr="004B436B">
        <w:rPr>
          <w:rFonts w:ascii="宋体" w:eastAsia="宋体" w:hAnsi="宋体" w:cs="宋体" w:hint="eastAsia"/>
          <w:color w:val="333333"/>
          <w:kern w:val="0"/>
          <w:szCs w:val="21"/>
        </w:rPr>
        <w:t>资产重组，符合《证券法》第六十七条规定的</w:t>
      </w:r>
      <w:r w:rsidRPr="004B436B">
        <w:rPr>
          <w:rFonts w:ascii="Times New Roman" w:eastAsia="宋体" w:hAnsi="Times New Roman" w:cs="Times New Roman" w:hint="eastAsia"/>
          <w:color w:val="333333"/>
          <w:kern w:val="0"/>
          <w:szCs w:val="21"/>
        </w:rPr>
        <w:t>“</w:t>
      </w:r>
      <w:r w:rsidRPr="004B436B">
        <w:rPr>
          <w:rFonts w:ascii="宋体" w:eastAsia="宋体" w:hAnsi="宋体" w:cs="宋体" w:hint="eastAsia"/>
          <w:color w:val="333333"/>
          <w:kern w:val="0"/>
          <w:szCs w:val="21"/>
        </w:rPr>
        <w:t>可能对上市公司股票交易价格产生较大影响的重大事件</w:t>
      </w:r>
      <w:r w:rsidRPr="004B436B">
        <w:rPr>
          <w:rFonts w:ascii="Times New Roman" w:eastAsia="宋体" w:hAnsi="Times New Roman" w:cs="Times New Roman" w:hint="eastAsia"/>
          <w:color w:val="333333"/>
          <w:kern w:val="0"/>
          <w:szCs w:val="21"/>
        </w:rPr>
        <w:t>”</w:t>
      </w:r>
      <w:r w:rsidRPr="004B436B">
        <w:rPr>
          <w:rFonts w:ascii="宋体" w:eastAsia="宋体" w:hAnsi="宋体" w:cs="宋体" w:hint="eastAsia"/>
          <w:color w:val="333333"/>
          <w:kern w:val="0"/>
          <w:szCs w:val="21"/>
        </w:rPr>
        <w:t>，该信息在公开前，属于《证券法》第七十五条第二款第（一）项规定的内幕信息。内幕信息形成不晚于</w:t>
      </w:r>
      <w:r w:rsidRPr="004B436B">
        <w:rPr>
          <w:rFonts w:ascii="Times New Roman" w:eastAsia="宋体" w:hAnsi="Times New Roman" w:cs="Times New Roman" w:hint="eastAsia"/>
          <w:color w:val="333333"/>
          <w:kern w:val="0"/>
          <w:szCs w:val="21"/>
        </w:rPr>
        <w:t>2016</w:t>
      </w:r>
      <w:r w:rsidRPr="004B436B">
        <w:rPr>
          <w:rFonts w:ascii="宋体" w:eastAsia="宋体" w:hAnsi="宋体" w:cs="宋体" w:hint="eastAsia"/>
          <w:color w:val="333333"/>
          <w:kern w:val="0"/>
          <w:szCs w:val="21"/>
        </w:rPr>
        <w:t>年</w:t>
      </w:r>
      <w:r w:rsidRPr="004B436B">
        <w:rPr>
          <w:rFonts w:ascii="Times New Roman" w:eastAsia="宋体" w:hAnsi="Times New Roman" w:cs="Times New Roman" w:hint="eastAsia"/>
          <w:color w:val="333333"/>
          <w:kern w:val="0"/>
          <w:szCs w:val="21"/>
        </w:rPr>
        <w:t>1</w:t>
      </w:r>
      <w:r w:rsidRPr="004B436B">
        <w:rPr>
          <w:rFonts w:ascii="宋体" w:eastAsia="宋体" w:hAnsi="宋体" w:cs="宋体" w:hint="eastAsia"/>
          <w:color w:val="333333"/>
          <w:kern w:val="0"/>
          <w:szCs w:val="21"/>
        </w:rPr>
        <w:t>月</w:t>
      </w:r>
      <w:r w:rsidRPr="004B436B">
        <w:rPr>
          <w:rFonts w:ascii="Times New Roman" w:eastAsia="宋体" w:hAnsi="Times New Roman" w:cs="Times New Roman" w:hint="eastAsia"/>
          <w:color w:val="333333"/>
          <w:kern w:val="0"/>
          <w:szCs w:val="21"/>
        </w:rPr>
        <w:t>19</w:t>
      </w:r>
      <w:r w:rsidRPr="004B436B">
        <w:rPr>
          <w:rFonts w:ascii="宋体" w:eastAsia="宋体" w:hAnsi="宋体" w:cs="宋体" w:hint="eastAsia"/>
          <w:color w:val="333333"/>
          <w:kern w:val="0"/>
          <w:szCs w:val="21"/>
        </w:rPr>
        <w:t>日。秦某婧系新华龙时任董事长郭某华配偶，时任新华龙副董事长，为法定内幕信息知情人，且知道郭某华去北京商讨新华龙重组事宜。</w:t>
      </w:r>
    </w:p>
    <w:p w14:paraId="7F899FE5" w14:textId="77777777" w:rsidR="004B436B" w:rsidRPr="004B436B" w:rsidRDefault="004B436B" w:rsidP="004B436B">
      <w:pPr>
        <w:widowControl/>
        <w:shd w:val="clear" w:color="auto" w:fill="FFFFFF"/>
        <w:spacing w:line="315" w:lineRule="atLeast"/>
        <w:ind w:left="420"/>
        <w:jc w:val="left"/>
        <w:rPr>
          <w:rFonts w:ascii="宋体" w:eastAsia="宋体" w:hAnsi="宋体" w:cs="宋体" w:hint="eastAsia"/>
          <w:color w:val="333333"/>
          <w:kern w:val="0"/>
          <w:szCs w:val="21"/>
        </w:rPr>
      </w:pPr>
      <w:r w:rsidRPr="004B436B">
        <w:rPr>
          <w:rFonts w:ascii="宋体" w:eastAsia="宋体" w:hAnsi="宋体" w:cs="宋体" w:hint="eastAsia"/>
          <w:color w:val="333333"/>
          <w:kern w:val="0"/>
          <w:szCs w:val="21"/>
        </w:rPr>
        <w:t>二、杨杰获取内幕信息及交易</w:t>
      </w:r>
      <w:r w:rsidRPr="004B436B">
        <w:rPr>
          <w:rFonts w:ascii="Times New Roman" w:eastAsia="宋体" w:hAnsi="Times New Roman" w:cs="Times New Roman" w:hint="eastAsia"/>
          <w:color w:val="333333"/>
          <w:kern w:val="0"/>
          <w:szCs w:val="21"/>
        </w:rPr>
        <w:t>“</w:t>
      </w:r>
      <w:r w:rsidRPr="004B436B">
        <w:rPr>
          <w:rFonts w:ascii="宋体" w:eastAsia="宋体" w:hAnsi="宋体" w:cs="宋体" w:hint="eastAsia"/>
          <w:color w:val="333333"/>
          <w:kern w:val="0"/>
          <w:szCs w:val="21"/>
        </w:rPr>
        <w:t>新华龙</w:t>
      </w:r>
      <w:r w:rsidRPr="004B436B">
        <w:rPr>
          <w:rFonts w:ascii="Times New Roman" w:eastAsia="宋体" w:hAnsi="Times New Roman" w:cs="Times New Roman" w:hint="eastAsia"/>
          <w:color w:val="333333"/>
          <w:kern w:val="0"/>
          <w:szCs w:val="21"/>
        </w:rPr>
        <w:t>”</w:t>
      </w:r>
      <w:r w:rsidRPr="004B436B">
        <w:rPr>
          <w:rFonts w:ascii="宋体" w:eastAsia="宋体" w:hAnsi="宋体" w:cs="宋体" w:hint="eastAsia"/>
          <w:color w:val="333333"/>
          <w:kern w:val="0"/>
          <w:szCs w:val="21"/>
        </w:rPr>
        <w:t>情况</w:t>
      </w:r>
    </w:p>
    <w:p w14:paraId="5DC7FED0" w14:textId="77777777" w:rsidR="004B436B" w:rsidRPr="004B436B" w:rsidRDefault="004B436B" w:rsidP="004B436B">
      <w:pPr>
        <w:widowControl/>
        <w:shd w:val="clear" w:color="auto" w:fill="FFFFFF"/>
        <w:spacing w:line="315" w:lineRule="atLeast"/>
        <w:ind w:firstLine="420"/>
        <w:jc w:val="left"/>
        <w:rPr>
          <w:rFonts w:ascii="宋体" w:eastAsia="宋体" w:hAnsi="宋体" w:cs="宋体" w:hint="eastAsia"/>
          <w:color w:val="333333"/>
          <w:kern w:val="0"/>
          <w:szCs w:val="21"/>
        </w:rPr>
      </w:pPr>
      <w:r w:rsidRPr="004B436B">
        <w:rPr>
          <w:rFonts w:ascii="宋体" w:eastAsia="宋体" w:hAnsi="宋体" w:cs="宋体" w:hint="eastAsia"/>
          <w:color w:val="333333"/>
          <w:kern w:val="0"/>
          <w:szCs w:val="21"/>
        </w:rPr>
        <w:t>王某系秦某婧表妹，二人关系密切，长期频繁电话联系，有大额资金往来，且在内幕信息敏感期内于</w:t>
      </w:r>
      <w:r w:rsidRPr="004B436B">
        <w:rPr>
          <w:rFonts w:ascii="Times New Roman" w:eastAsia="宋体" w:hAnsi="Times New Roman" w:cs="Times New Roman" w:hint="eastAsia"/>
          <w:color w:val="333333"/>
          <w:kern w:val="0"/>
          <w:szCs w:val="21"/>
        </w:rPr>
        <w:t>2016</w:t>
      </w:r>
      <w:r w:rsidRPr="004B436B">
        <w:rPr>
          <w:rFonts w:ascii="宋体" w:eastAsia="宋体" w:hAnsi="宋体" w:cs="宋体" w:hint="eastAsia"/>
          <w:color w:val="333333"/>
          <w:kern w:val="0"/>
          <w:szCs w:val="21"/>
        </w:rPr>
        <w:t>年</w:t>
      </w:r>
      <w:r w:rsidRPr="004B436B">
        <w:rPr>
          <w:rFonts w:ascii="Times New Roman" w:eastAsia="宋体" w:hAnsi="Times New Roman" w:cs="Times New Roman" w:hint="eastAsia"/>
          <w:color w:val="333333"/>
          <w:kern w:val="0"/>
          <w:szCs w:val="21"/>
        </w:rPr>
        <w:t>1</w:t>
      </w:r>
      <w:r w:rsidRPr="004B436B">
        <w:rPr>
          <w:rFonts w:ascii="宋体" w:eastAsia="宋体" w:hAnsi="宋体" w:cs="宋体" w:hint="eastAsia"/>
          <w:color w:val="333333"/>
          <w:kern w:val="0"/>
          <w:szCs w:val="21"/>
        </w:rPr>
        <w:t>月</w:t>
      </w:r>
      <w:r w:rsidRPr="004B436B">
        <w:rPr>
          <w:rFonts w:ascii="Times New Roman" w:eastAsia="宋体" w:hAnsi="Times New Roman" w:cs="Times New Roman" w:hint="eastAsia"/>
          <w:color w:val="333333"/>
          <w:kern w:val="0"/>
          <w:szCs w:val="21"/>
        </w:rPr>
        <w:t>21</w:t>
      </w:r>
      <w:r w:rsidRPr="004B436B">
        <w:rPr>
          <w:rFonts w:ascii="宋体" w:eastAsia="宋体" w:hAnsi="宋体" w:cs="宋体" w:hint="eastAsia"/>
          <w:color w:val="333333"/>
          <w:kern w:val="0"/>
          <w:szCs w:val="21"/>
        </w:rPr>
        <w:t>日通话</w:t>
      </w:r>
      <w:r w:rsidRPr="004B436B">
        <w:rPr>
          <w:rFonts w:ascii="Times New Roman" w:eastAsia="宋体" w:hAnsi="Times New Roman" w:cs="Times New Roman" w:hint="eastAsia"/>
          <w:color w:val="333333"/>
          <w:kern w:val="0"/>
          <w:szCs w:val="21"/>
        </w:rPr>
        <w:t>24</w:t>
      </w:r>
      <w:r w:rsidRPr="004B436B">
        <w:rPr>
          <w:rFonts w:ascii="宋体" w:eastAsia="宋体" w:hAnsi="宋体" w:cs="宋体" w:hint="eastAsia"/>
          <w:color w:val="333333"/>
          <w:kern w:val="0"/>
          <w:szCs w:val="21"/>
        </w:rPr>
        <w:t>分钟。杨杰系王某的嫂子，双方均承认王某告知杨杰新华龙要重组的信息。因此，杨杰知悉内幕信息。</w:t>
      </w:r>
    </w:p>
    <w:p w14:paraId="5C875DAF" w14:textId="77777777" w:rsidR="004B436B" w:rsidRPr="004B436B" w:rsidRDefault="004B436B" w:rsidP="004B436B">
      <w:pPr>
        <w:widowControl/>
        <w:shd w:val="clear" w:color="auto" w:fill="FFFFFF"/>
        <w:spacing w:line="315" w:lineRule="atLeast"/>
        <w:ind w:firstLine="420"/>
        <w:jc w:val="left"/>
        <w:rPr>
          <w:rFonts w:ascii="宋体" w:eastAsia="宋体" w:hAnsi="宋体" w:cs="宋体" w:hint="eastAsia"/>
          <w:color w:val="333333"/>
          <w:kern w:val="0"/>
          <w:szCs w:val="21"/>
        </w:rPr>
      </w:pPr>
      <w:r w:rsidRPr="004B436B">
        <w:rPr>
          <w:rFonts w:ascii="宋体" w:eastAsia="宋体" w:hAnsi="宋体" w:cs="宋体" w:hint="eastAsia"/>
          <w:color w:val="333333"/>
          <w:kern w:val="0"/>
          <w:szCs w:val="21"/>
        </w:rPr>
        <w:t>杨杰使用本人证券账户于</w:t>
      </w:r>
      <w:r w:rsidRPr="004B436B">
        <w:rPr>
          <w:rFonts w:ascii="Times New Roman" w:eastAsia="宋体" w:hAnsi="Times New Roman" w:cs="Times New Roman" w:hint="eastAsia"/>
          <w:color w:val="333333"/>
          <w:kern w:val="0"/>
          <w:szCs w:val="21"/>
        </w:rPr>
        <w:t>2016</w:t>
      </w:r>
      <w:r w:rsidRPr="004B436B">
        <w:rPr>
          <w:rFonts w:ascii="宋体" w:eastAsia="宋体" w:hAnsi="宋体" w:cs="宋体" w:hint="eastAsia"/>
          <w:color w:val="333333"/>
          <w:kern w:val="0"/>
          <w:szCs w:val="21"/>
        </w:rPr>
        <w:t>年</w:t>
      </w:r>
      <w:r w:rsidRPr="004B436B">
        <w:rPr>
          <w:rFonts w:ascii="Times New Roman" w:eastAsia="宋体" w:hAnsi="Times New Roman" w:cs="Times New Roman" w:hint="eastAsia"/>
          <w:color w:val="333333"/>
          <w:kern w:val="0"/>
          <w:szCs w:val="21"/>
        </w:rPr>
        <w:t>1</w:t>
      </w:r>
      <w:r w:rsidRPr="004B436B">
        <w:rPr>
          <w:rFonts w:ascii="宋体" w:eastAsia="宋体" w:hAnsi="宋体" w:cs="宋体" w:hint="eastAsia"/>
          <w:color w:val="333333"/>
          <w:kern w:val="0"/>
          <w:szCs w:val="21"/>
        </w:rPr>
        <w:t>月</w:t>
      </w:r>
      <w:r w:rsidRPr="004B436B">
        <w:rPr>
          <w:rFonts w:ascii="Times New Roman" w:eastAsia="宋体" w:hAnsi="Times New Roman" w:cs="Times New Roman" w:hint="eastAsia"/>
          <w:color w:val="333333"/>
          <w:kern w:val="0"/>
          <w:szCs w:val="21"/>
        </w:rPr>
        <w:t>22</w:t>
      </w:r>
      <w:r w:rsidRPr="004B436B">
        <w:rPr>
          <w:rFonts w:ascii="宋体" w:eastAsia="宋体" w:hAnsi="宋体" w:cs="宋体" w:hint="eastAsia"/>
          <w:color w:val="333333"/>
          <w:kern w:val="0"/>
          <w:szCs w:val="21"/>
        </w:rPr>
        <w:t>日开盘后以低于买入价约</w:t>
      </w:r>
      <w:r w:rsidRPr="004B436B">
        <w:rPr>
          <w:rFonts w:ascii="Times New Roman" w:eastAsia="宋体" w:hAnsi="Times New Roman" w:cs="Times New Roman" w:hint="eastAsia"/>
          <w:color w:val="333333"/>
          <w:kern w:val="0"/>
          <w:szCs w:val="21"/>
        </w:rPr>
        <w:t>22%</w:t>
      </w:r>
      <w:r w:rsidRPr="004B436B">
        <w:rPr>
          <w:rFonts w:ascii="宋体" w:eastAsia="宋体" w:hAnsi="宋体" w:cs="宋体" w:hint="eastAsia"/>
          <w:color w:val="333333"/>
          <w:kern w:val="0"/>
          <w:szCs w:val="21"/>
        </w:rPr>
        <w:t>的价格，卖出了原持有的全部股票，所得资金随即买入</w:t>
      </w:r>
      <w:r w:rsidRPr="004B436B">
        <w:rPr>
          <w:rFonts w:ascii="Times New Roman" w:eastAsia="宋体" w:hAnsi="Times New Roman" w:cs="Times New Roman" w:hint="eastAsia"/>
          <w:color w:val="333333"/>
          <w:kern w:val="0"/>
          <w:szCs w:val="21"/>
        </w:rPr>
        <w:t>“</w:t>
      </w:r>
      <w:r w:rsidRPr="004B436B">
        <w:rPr>
          <w:rFonts w:ascii="宋体" w:eastAsia="宋体" w:hAnsi="宋体" w:cs="宋体" w:hint="eastAsia"/>
          <w:color w:val="333333"/>
          <w:kern w:val="0"/>
          <w:szCs w:val="21"/>
        </w:rPr>
        <w:t>新华龙</w:t>
      </w:r>
      <w:r w:rsidRPr="004B436B">
        <w:rPr>
          <w:rFonts w:ascii="Times New Roman" w:eastAsia="宋体" w:hAnsi="Times New Roman" w:cs="Times New Roman" w:hint="eastAsia"/>
          <w:color w:val="333333"/>
          <w:kern w:val="0"/>
          <w:szCs w:val="21"/>
        </w:rPr>
        <w:t>”</w:t>
      </w:r>
      <w:r w:rsidRPr="004B436B">
        <w:rPr>
          <w:rFonts w:ascii="Times New Roman" w:eastAsia="宋体" w:hAnsi="Times New Roman" w:cs="Times New Roman" w:hint="eastAsia"/>
          <w:color w:val="333333"/>
          <w:kern w:val="0"/>
          <w:szCs w:val="21"/>
        </w:rPr>
        <w:t>27,700</w:t>
      </w:r>
      <w:r w:rsidRPr="004B436B">
        <w:rPr>
          <w:rFonts w:ascii="宋体" w:eastAsia="宋体" w:hAnsi="宋体" w:cs="宋体" w:hint="eastAsia"/>
          <w:color w:val="333333"/>
          <w:kern w:val="0"/>
          <w:szCs w:val="21"/>
        </w:rPr>
        <w:t>股，成交金额</w:t>
      </w:r>
      <w:r w:rsidRPr="004B436B">
        <w:rPr>
          <w:rFonts w:ascii="Times New Roman" w:eastAsia="宋体" w:hAnsi="Times New Roman" w:cs="Times New Roman" w:hint="eastAsia"/>
          <w:color w:val="333333"/>
          <w:kern w:val="0"/>
          <w:szCs w:val="21"/>
        </w:rPr>
        <w:t>265,352.00</w:t>
      </w:r>
      <w:r w:rsidRPr="004B436B">
        <w:rPr>
          <w:rFonts w:ascii="宋体" w:eastAsia="宋体" w:hAnsi="宋体" w:cs="宋体" w:hint="eastAsia"/>
          <w:color w:val="333333"/>
          <w:kern w:val="0"/>
          <w:szCs w:val="21"/>
        </w:rPr>
        <w:t>元；</w:t>
      </w:r>
      <w:r w:rsidRPr="004B436B">
        <w:rPr>
          <w:rFonts w:ascii="Times New Roman" w:eastAsia="宋体" w:hAnsi="Times New Roman" w:cs="Times New Roman" w:hint="eastAsia"/>
          <w:color w:val="333333"/>
          <w:kern w:val="0"/>
          <w:szCs w:val="21"/>
        </w:rPr>
        <w:t>5</w:t>
      </w:r>
      <w:r w:rsidRPr="004B436B">
        <w:rPr>
          <w:rFonts w:ascii="宋体" w:eastAsia="宋体" w:hAnsi="宋体" w:cs="宋体" w:hint="eastAsia"/>
          <w:color w:val="333333"/>
          <w:kern w:val="0"/>
          <w:szCs w:val="21"/>
        </w:rPr>
        <w:t>月</w:t>
      </w:r>
      <w:r w:rsidRPr="004B436B">
        <w:rPr>
          <w:rFonts w:ascii="Times New Roman" w:eastAsia="宋体" w:hAnsi="Times New Roman" w:cs="Times New Roman" w:hint="eastAsia"/>
          <w:color w:val="333333"/>
          <w:kern w:val="0"/>
          <w:szCs w:val="21"/>
        </w:rPr>
        <w:t>4</w:t>
      </w:r>
      <w:r w:rsidRPr="004B436B">
        <w:rPr>
          <w:rFonts w:ascii="宋体" w:eastAsia="宋体" w:hAnsi="宋体" w:cs="宋体" w:hint="eastAsia"/>
          <w:color w:val="333333"/>
          <w:kern w:val="0"/>
          <w:szCs w:val="21"/>
        </w:rPr>
        <w:t>日全部卖出，成交金额</w:t>
      </w:r>
      <w:r w:rsidRPr="004B436B">
        <w:rPr>
          <w:rFonts w:ascii="Times New Roman" w:eastAsia="宋体" w:hAnsi="Times New Roman" w:cs="Times New Roman" w:hint="eastAsia"/>
          <w:color w:val="333333"/>
          <w:kern w:val="0"/>
          <w:szCs w:val="21"/>
        </w:rPr>
        <w:t>324,090.00</w:t>
      </w:r>
      <w:r w:rsidRPr="004B436B">
        <w:rPr>
          <w:rFonts w:ascii="宋体" w:eastAsia="宋体" w:hAnsi="宋体" w:cs="宋体" w:hint="eastAsia"/>
          <w:color w:val="333333"/>
          <w:kern w:val="0"/>
          <w:szCs w:val="21"/>
        </w:rPr>
        <w:t>元，盈利</w:t>
      </w:r>
      <w:r w:rsidRPr="004B436B">
        <w:rPr>
          <w:rFonts w:ascii="Times New Roman" w:eastAsia="宋体" w:hAnsi="Times New Roman" w:cs="Times New Roman" w:hint="eastAsia"/>
          <w:color w:val="333333"/>
          <w:kern w:val="0"/>
          <w:szCs w:val="21"/>
        </w:rPr>
        <w:t>57,459.01</w:t>
      </w:r>
      <w:r w:rsidRPr="004B436B">
        <w:rPr>
          <w:rFonts w:ascii="宋体" w:eastAsia="宋体" w:hAnsi="宋体" w:cs="宋体" w:hint="eastAsia"/>
          <w:color w:val="333333"/>
          <w:kern w:val="0"/>
          <w:szCs w:val="21"/>
        </w:rPr>
        <w:t>元，收益归于杨杰本人。</w:t>
      </w:r>
    </w:p>
    <w:p w14:paraId="5021E089" w14:textId="77777777" w:rsidR="004B436B" w:rsidRPr="004B436B" w:rsidRDefault="004B436B" w:rsidP="004B436B">
      <w:pPr>
        <w:widowControl/>
        <w:shd w:val="clear" w:color="auto" w:fill="FFFFFF"/>
        <w:spacing w:line="315" w:lineRule="atLeast"/>
        <w:ind w:firstLine="420"/>
        <w:jc w:val="left"/>
        <w:rPr>
          <w:rFonts w:ascii="宋体" w:eastAsia="宋体" w:hAnsi="宋体" w:cs="宋体" w:hint="eastAsia"/>
          <w:color w:val="333333"/>
          <w:kern w:val="0"/>
          <w:szCs w:val="21"/>
        </w:rPr>
      </w:pPr>
      <w:r w:rsidRPr="004B436B">
        <w:rPr>
          <w:rFonts w:ascii="宋体" w:eastAsia="宋体" w:hAnsi="宋体" w:cs="宋体" w:hint="eastAsia"/>
          <w:color w:val="333333"/>
          <w:kern w:val="0"/>
          <w:szCs w:val="21"/>
        </w:rPr>
        <w:t>上述违法事实，有新华龙公告、证券账户资料、交易流水、银行账户资料、相关人员询问笔录、情况说明、通讯记录等证据证明，足以认定。</w:t>
      </w:r>
    </w:p>
    <w:p w14:paraId="3EAFB911" w14:textId="77777777" w:rsidR="004B436B" w:rsidRPr="004B436B" w:rsidRDefault="004B436B" w:rsidP="004B436B">
      <w:pPr>
        <w:widowControl/>
        <w:shd w:val="clear" w:color="auto" w:fill="FFFFFF"/>
        <w:spacing w:line="315" w:lineRule="atLeast"/>
        <w:ind w:firstLine="420"/>
        <w:jc w:val="left"/>
        <w:rPr>
          <w:rFonts w:ascii="宋体" w:eastAsia="宋体" w:hAnsi="宋体" w:cs="宋体" w:hint="eastAsia"/>
          <w:color w:val="333333"/>
          <w:kern w:val="0"/>
          <w:szCs w:val="21"/>
        </w:rPr>
      </w:pPr>
      <w:r w:rsidRPr="004B436B">
        <w:rPr>
          <w:rFonts w:ascii="宋体" w:eastAsia="宋体" w:hAnsi="宋体" w:cs="宋体" w:hint="eastAsia"/>
          <w:color w:val="333333"/>
          <w:kern w:val="0"/>
          <w:szCs w:val="21"/>
        </w:rPr>
        <w:t>杨杰的上述行为违反了《证券法》第七十三条、第七十六条第一款的规定，构成了《证券法》第二百零二条所述内幕交易行为。</w:t>
      </w:r>
    </w:p>
    <w:p w14:paraId="765B9E15" w14:textId="77777777" w:rsidR="004B436B" w:rsidRPr="004B436B" w:rsidRDefault="004B436B" w:rsidP="004B436B">
      <w:pPr>
        <w:widowControl/>
        <w:shd w:val="clear" w:color="auto" w:fill="FFFFFF"/>
        <w:spacing w:line="315" w:lineRule="atLeast"/>
        <w:ind w:firstLine="420"/>
        <w:jc w:val="left"/>
        <w:rPr>
          <w:rFonts w:ascii="宋体" w:eastAsia="宋体" w:hAnsi="宋体" w:cs="宋体" w:hint="eastAsia"/>
          <w:color w:val="333333"/>
          <w:kern w:val="0"/>
          <w:szCs w:val="21"/>
        </w:rPr>
      </w:pPr>
      <w:r w:rsidRPr="004B436B">
        <w:rPr>
          <w:rFonts w:ascii="宋体" w:eastAsia="宋体" w:hAnsi="宋体" w:cs="宋体" w:hint="eastAsia"/>
          <w:color w:val="333333"/>
          <w:kern w:val="0"/>
          <w:szCs w:val="21"/>
        </w:rPr>
        <w:t>根据当事人违法行为的事实、性质、情节与社会危害程度，依据《证券法》第二百零二条的规定，我局决定：</w:t>
      </w:r>
    </w:p>
    <w:p w14:paraId="33CC94D3" w14:textId="77777777" w:rsidR="004B436B" w:rsidRPr="004B436B" w:rsidRDefault="004B436B" w:rsidP="004B436B">
      <w:pPr>
        <w:widowControl/>
        <w:shd w:val="clear" w:color="auto" w:fill="FFFFFF"/>
        <w:spacing w:line="315" w:lineRule="atLeast"/>
        <w:ind w:firstLine="420"/>
        <w:jc w:val="left"/>
        <w:rPr>
          <w:rFonts w:ascii="宋体" w:eastAsia="宋体" w:hAnsi="宋体" w:cs="宋体" w:hint="eastAsia"/>
          <w:color w:val="333333"/>
          <w:kern w:val="0"/>
          <w:szCs w:val="21"/>
        </w:rPr>
      </w:pPr>
      <w:r w:rsidRPr="004B436B">
        <w:rPr>
          <w:rFonts w:ascii="宋体" w:eastAsia="宋体" w:hAnsi="宋体" w:cs="宋体" w:hint="eastAsia"/>
          <w:color w:val="333333"/>
          <w:kern w:val="0"/>
          <w:szCs w:val="21"/>
        </w:rPr>
        <w:t>没收杨</w:t>
      </w:r>
      <w:proofErr w:type="gramStart"/>
      <w:r w:rsidRPr="004B436B">
        <w:rPr>
          <w:rFonts w:ascii="宋体" w:eastAsia="宋体" w:hAnsi="宋体" w:cs="宋体" w:hint="eastAsia"/>
          <w:color w:val="333333"/>
          <w:kern w:val="0"/>
          <w:szCs w:val="21"/>
        </w:rPr>
        <w:t>杰违法</w:t>
      </w:r>
      <w:proofErr w:type="gramEnd"/>
      <w:r w:rsidRPr="004B436B">
        <w:rPr>
          <w:rFonts w:ascii="宋体" w:eastAsia="宋体" w:hAnsi="宋体" w:cs="宋体" w:hint="eastAsia"/>
          <w:color w:val="333333"/>
          <w:kern w:val="0"/>
          <w:szCs w:val="21"/>
        </w:rPr>
        <w:t>所得</w:t>
      </w:r>
      <w:r w:rsidRPr="004B436B">
        <w:rPr>
          <w:rFonts w:ascii="Times New Roman" w:eastAsia="宋体" w:hAnsi="Times New Roman" w:cs="Times New Roman" w:hint="eastAsia"/>
          <w:color w:val="333333"/>
          <w:kern w:val="0"/>
          <w:szCs w:val="21"/>
        </w:rPr>
        <w:t>57,459.01</w:t>
      </w:r>
      <w:r w:rsidRPr="004B436B">
        <w:rPr>
          <w:rFonts w:ascii="宋体" w:eastAsia="宋体" w:hAnsi="宋体" w:cs="宋体" w:hint="eastAsia"/>
          <w:color w:val="333333"/>
          <w:kern w:val="0"/>
          <w:szCs w:val="21"/>
        </w:rPr>
        <w:t>元，并处以</w:t>
      </w:r>
      <w:r w:rsidRPr="004B436B">
        <w:rPr>
          <w:rFonts w:ascii="Times New Roman" w:eastAsia="宋体" w:hAnsi="Times New Roman" w:cs="Times New Roman" w:hint="eastAsia"/>
          <w:color w:val="333333"/>
          <w:kern w:val="0"/>
          <w:szCs w:val="21"/>
        </w:rPr>
        <w:t>172,377.03</w:t>
      </w:r>
      <w:r w:rsidRPr="004B436B">
        <w:rPr>
          <w:rFonts w:ascii="宋体" w:eastAsia="宋体" w:hAnsi="宋体" w:cs="宋体" w:hint="eastAsia"/>
          <w:color w:val="333333"/>
          <w:kern w:val="0"/>
          <w:szCs w:val="21"/>
        </w:rPr>
        <w:t>元罚款。</w:t>
      </w:r>
    </w:p>
    <w:p w14:paraId="4A762C9B" w14:textId="77777777" w:rsidR="004B436B" w:rsidRPr="004B436B" w:rsidRDefault="004B436B" w:rsidP="004B436B">
      <w:pPr>
        <w:widowControl/>
        <w:shd w:val="clear" w:color="auto" w:fill="FFFFFF"/>
        <w:spacing w:line="315" w:lineRule="atLeast"/>
        <w:ind w:firstLine="420"/>
        <w:jc w:val="left"/>
        <w:rPr>
          <w:rFonts w:ascii="宋体" w:eastAsia="宋体" w:hAnsi="宋体" w:cs="宋体" w:hint="eastAsia"/>
          <w:color w:val="333333"/>
          <w:kern w:val="0"/>
          <w:szCs w:val="21"/>
        </w:rPr>
      </w:pPr>
      <w:r w:rsidRPr="004B436B">
        <w:rPr>
          <w:rFonts w:ascii="宋体" w:eastAsia="宋体" w:hAnsi="宋体" w:cs="宋体" w:hint="eastAsia"/>
          <w:color w:val="333333"/>
          <w:kern w:val="0"/>
          <w:szCs w:val="21"/>
        </w:rPr>
        <w:lastRenderedPageBreak/>
        <w:t>上述当事人应自收到本处罚决定书之日起</w:t>
      </w:r>
      <w:r w:rsidRPr="004B436B">
        <w:rPr>
          <w:rFonts w:ascii="Times New Roman" w:eastAsia="宋体" w:hAnsi="Times New Roman" w:cs="Times New Roman" w:hint="eastAsia"/>
          <w:color w:val="333333"/>
          <w:kern w:val="0"/>
          <w:szCs w:val="21"/>
        </w:rPr>
        <w:t>15</w:t>
      </w:r>
      <w:r w:rsidRPr="004B436B">
        <w:rPr>
          <w:rFonts w:ascii="宋体" w:eastAsia="宋体" w:hAnsi="宋体" w:cs="宋体" w:hint="eastAsia"/>
          <w:color w:val="333333"/>
          <w:kern w:val="0"/>
          <w:szCs w:val="21"/>
        </w:rPr>
        <w:t>日内，将罚没款汇交中国证券监督管理委员会（开户银行：中信银行总行营业部，账号：</w:t>
      </w:r>
      <w:r w:rsidRPr="004B436B">
        <w:rPr>
          <w:rFonts w:ascii="Times New Roman" w:eastAsia="宋体" w:hAnsi="Times New Roman" w:cs="Times New Roman" w:hint="eastAsia"/>
          <w:color w:val="333333"/>
          <w:kern w:val="0"/>
          <w:szCs w:val="21"/>
        </w:rPr>
        <w:t>7111010189800000162</w:t>
      </w:r>
      <w:r w:rsidRPr="004B436B">
        <w:rPr>
          <w:rFonts w:ascii="宋体" w:eastAsia="宋体" w:hAnsi="宋体" w:cs="宋体" w:hint="eastAsia"/>
          <w:color w:val="333333"/>
          <w:kern w:val="0"/>
          <w:szCs w:val="21"/>
        </w:rPr>
        <w:t>，由该行直接上缴国库），并将注有当事人名称的付款凭证复印件送中国证券监督管理委员会辽宁监管局备案。当事人如果对本处罚决定不服，可在收到本处罚决定书之日起</w:t>
      </w:r>
      <w:r w:rsidRPr="004B436B">
        <w:rPr>
          <w:rFonts w:ascii="Times New Roman" w:eastAsia="宋体" w:hAnsi="Times New Roman" w:cs="Times New Roman" w:hint="eastAsia"/>
          <w:color w:val="333333"/>
          <w:kern w:val="0"/>
          <w:szCs w:val="21"/>
        </w:rPr>
        <w:t>60</w:t>
      </w:r>
      <w:r w:rsidRPr="004B436B">
        <w:rPr>
          <w:rFonts w:ascii="宋体" w:eastAsia="宋体" w:hAnsi="宋体" w:cs="宋体" w:hint="eastAsia"/>
          <w:color w:val="333333"/>
          <w:kern w:val="0"/>
          <w:szCs w:val="21"/>
        </w:rPr>
        <w:t>日内向中国证券监督管理委员会申请行政复议，也可在收到本处罚决定书之日起</w:t>
      </w:r>
      <w:r w:rsidRPr="004B436B">
        <w:rPr>
          <w:rFonts w:ascii="Times New Roman" w:eastAsia="宋体" w:hAnsi="Times New Roman" w:cs="Times New Roman" w:hint="eastAsia"/>
          <w:color w:val="333333"/>
          <w:kern w:val="0"/>
          <w:szCs w:val="21"/>
        </w:rPr>
        <w:t>6</w:t>
      </w:r>
      <w:r w:rsidRPr="004B436B">
        <w:rPr>
          <w:rFonts w:ascii="宋体" w:eastAsia="宋体" w:hAnsi="宋体" w:cs="宋体" w:hint="eastAsia"/>
          <w:color w:val="333333"/>
          <w:kern w:val="0"/>
          <w:szCs w:val="21"/>
        </w:rPr>
        <w:t>个月内向有管辖权的人民法院提起行政诉讼。复议和诉讼期间，上述决定不停止执行。</w:t>
      </w:r>
    </w:p>
    <w:p w14:paraId="329A1ADD" w14:textId="77777777" w:rsidR="004B436B" w:rsidRPr="004B436B" w:rsidRDefault="004B436B" w:rsidP="004B436B">
      <w:pPr>
        <w:widowControl/>
        <w:shd w:val="clear" w:color="auto" w:fill="FFFFFF"/>
        <w:spacing w:line="315" w:lineRule="atLeast"/>
        <w:ind w:firstLine="420"/>
        <w:jc w:val="left"/>
        <w:rPr>
          <w:rFonts w:ascii="宋体" w:eastAsia="宋体" w:hAnsi="宋体" w:cs="宋体" w:hint="eastAsia"/>
          <w:color w:val="333333"/>
          <w:kern w:val="0"/>
          <w:szCs w:val="21"/>
        </w:rPr>
      </w:pPr>
      <w:r w:rsidRPr="004B436B">
        <w:rPr>
          <w:rFonts w:ascii="Times New Roman" w:eastAsia="宋体" w:hAnsi="Times New Roman" w:cs="Times New Roman" w:hint="eastAsia"/>
          <w:color w:val="333333"/>
          <w:kern w:val="0"/>
          <w:szCs w:val="21"/>
        </w:rPr>
        <w:t> </w:t>
      </w:r>
    </w:p>
    <w:p w14:paraId="5D0560FB" w14:textId="77777777" w:rsidR="004B436B" w:rsidRPr="004B436B" w:rsidRDefault="004B436B" w:rsidP="004B436B">
      <w:pPr>
        <w:widowControl/>
        <w:shd w:val="clear" w:color="auto" w:fill="FFFFFF"/>
        <w:spacing w:line="315" w:lineRule="atLeast"/>
        <w:ind w:firstLine="420"/>
        <w:jc w:val="left"/>
        <w:rPr>
          <w:rFonts w:ascii="宋体" w:eastAsia="宋体" w:hAnsi="宋体" w:cs="宋体" w:hint="eastAsia"/>
          <w:color w:val="333333"/>
          <w:kern w:val="0"/>
          <w:szCs w:val="21"/>
        </w:rPr>
      </w:pPr>
      <w:r w:rsidRPr="004B436B">
        <w:rPr>
          <w:rFonts w:ascii="Times New Roman" w:eastAsia="宋体" w:hAnsi="Times New Roman" w:cs="Times New Roman" w:hint="eastAsia"/>
          <w:color w:val="333333"/>
          <w:kern w:val="0"/>
          <w:szCs w:val="21"/>
        </w:rPr>
        <w:t> </w:t>
      </w:r>
    </w:p>
    <w:p w14:paraId="32666F13" w14:textId="77777777" w:rsidR="004B436B" w:rsidRPr="004B436B" w:rsidRDefault="004B436B" w:rsidP="004B436B">
      <w:pPr>
        <w:widowControl/>
        <w:shd w:val="clear" w:color="auto" w:fill="FFFFFF"/>
        <w:spacing w:line="315" w:lineRule="atLeast"/>
        <w:ind w:firstLine="420"/>
        <w:jc w:val="left"/>
        <w:rPr>
          <w:rFonts w:ascii="宋体" w:eastAsia="宋体" w:hAnsi="宋体" w:cs="宋体" w:hint="eastAsia"/>
          <w:color w:val="333333"/>
          <w:kern w:val="0"/>
          <w:szCs w:val="21"/>
        </w:rPr>
      </w:pPr>
      <w:r w:rsidRPr="004B436B">
        <w:rPr>
          <w:rFonts w:ascii="Times New Roman" w:eastAsia="宋体" w:hAnsi="Times New Roman" w:cs="Times New Roman" w:hint="eastAsia"/>
          <w:color w:val="333333"/>
          <w:kern w:val="0"/>
          <w:szCs w:val="21"/>
        </w:rPr>
        <w:t> </w:t>
      </w:r>
    </w:p>
    <w:p w14:paraId="1EC00957" w14:textId="77777777" w:rsidR="004B436B" w:rsidRPr="004B436B" w:rsidRDefault="004B436B" w:rsidP="004B436B">
      <w:pPr>
        <w:widowControl/>
        <w:shd w:val="clear" w:color="auto" w:fill="FFFFFF"/>
        <w:spacing w:line="315" w:lineRule="atLeast"/>
        <w:ind w:firstLine="420"/>
        <w:jc w:val="left"/>
        <w:rPr>
          <w:rFonts w:ascii="宋体" w:eastAsia="宋体" w:hAnsi="宋体" w:cs="宋体" w:hint="eastAsia"/>
          <w:color w:val="333333"/>
          <w:kern w:val="0"/>
          <w:szCs w:val="21"/>
        </w:rPr>
      </w:pPr>
      <w:r w:rsidRPr="004B436B">
        <w:rPr>
          <w:rFonts w:ascii="Times New Roman" w:eastAsia="宋体" w:hAnsi="Times New Roman" w:cs="Times New Roman" w:hint="eastAsia"/>
          <w:color w:val="333333"/>
          <w:kern w:val="0"/>
          <w:szCs w:val="21"/>
        </w:rPr>
        <w:t> </w:t>
      </w:r>
    </w:p>
    <w:p w14:paraId="4833157D" w14:textId="77777777" w:rsidR="004B436B" w:rsidRPr="004B436B" w:rsidRDefault="004B436B" w:rsidP="004B436B">
      <w:pPr>
        <w:widowControl/>
        <w:shd w:val="clear" w:color="auto" w:fill="FFFFFF"/>
        <w:spacing w:line="315" w:lineRule="atLeast"/>
        <w:ind w:right="658" w:firstLine="420"/>
        <w:jc w:val="right"/>
        <w:rPr>
          <w:rFonts w:ascii="宋体" w:eastAsia="宋体" w:hAnsi="宋体" w:cs="宋体" w:hint="eastAsia"/>
          <w:color w:val="333333"/>
          <w:kern w:val="0"/>
          <w:szCs w:val="21"/>
        </w:rPr>
      </w:pPr>
      <w:r w:rsidRPr="004B436B">
        <w:rPr>
          <w:rFonts w:ascii="宋体" w:eastAsia="宋体" w:hAnsi="宋体" w:cs="宋体" w:hint="eastAsia"/>
          <w:color w:val="333333"/>
          <w:kern w:val="0"/>
          <w:szCs w:val="21"/>
        </w:rPr>
        <w:t>辽宁证监局</w:t>
      </w:r>
    </w:p>
    <w:p w14:paraId="6ACC2FCE" w14:textId="77777777" w:rsidR="004B436B" w:rsidRPr="004B436B" w:rsidRDefault="004B436B" w:rsidP="004B436B">
      <w:pPr>
        <w:widowControl/>
        <w:shd w:val="clear" w:color="auto" w:fill="FFFFFF"/>
        <w:spacing w:line="315" w:lineRule="atLeast"/>
        <w:ind w:firstLine="525"/>
        <w:jc w:val="right"/>
        <w:rPr>
          <w:rFonts w:ascii="宋体" w:eastAsia="宋体" w:hAnsi="宋体" w:cs="宋体" w:hint="eastAsia"/>
          <w:color w:val="333333"/>
          <w:kern w:val="0"/>
          <w:szCs w:val="21"/>
        </w:rPr>
      </w:pPr>
      <w:r w:rsidRPr="004B436B">
        <w:rPr>
          <w:rFonts w:ascii="Times New Roman" w:eastAsia="宋体" w:hAnsi="Times New Roman" w:cs="Times New Roman" w:hint="eastAsia"/>
          <w:color w:val="333333"/>
          <w:kern w:val="0"/>
          <w:szCs w:val="21"/>
        </w:rPr>
        <w:t>2017</w:t>
      </w:r>
      <w:r w:rsidRPr="004B436B">
        <w:rPr>
          <w:rFonts w:ascii="宋体" w:eastAsia="宋体" w:hAnsi="宋体" w:cs="宋体" w:hint="eastAsia"/>
          <w:color w:val="333333"/>
          <w:kern w:val="0"/>
          <w:szCs w:val="21"/>
        </w:rPr>
        <w:t>年</w:t>
      </w:r>
      <w:r w:rsidRPr="004B436B">
        <w:rPr>
          <w:rFonts w:ascii="Times New Roman" w:eastAsia="宋体" w:hAnsi="Times New Roman" w:cs="Times New Roman" w:hint="eastAsia"/>
          <w:color w:val="333333"/>
          <w:kern w:val="0"/>
          <w:szCs w:val="21"/>
        </w:rPr>
        <w:t>11</w:t>
      </w:r>
      <w:r w:rsidRPr="004B436B">
        <w:rPr>
          <w:rFonts w:ascii="宋体" w:eastAsia="宋体" w:hAnsi="宋体" w:cs="宋体" w:hint="eastAsia"/>
          <w:color w:val="333333"/>
          <w:kern w:val="0"/>
          <w:szCs w:val="21"/>
        </w:rPr>
        <w:t>月</w:t>
      </w:r>
      <w:r w:rsidRPr="004B436B">
        <w:rPr>
          <w:rFonts w:ascii="Times New Roman" w:eastAsia="宋体" w:hAnsi="Times New Roman" w:cs="Times New Roman" w:hint="eastAsia"/>
          <w:color w:val="333333"/>
          <w:kern w:val="0"/>
          <w:szCs w:val="21"/>
        </w:rPr>
        <w:t>21</w:t>
      </w:r>
      <w:r w:rsidRPr="004B436B">
        <w:rPr>
          <w:rFonts w:ascii="宋体" w:eastAsia="宋体" w:hAnsi="宋体" w:cs="宋体" w:hint="eastAsia"/>
          <w:color w:val="333333"/>
          <w:kern w:val="0"/>
          <w:szCs w:val="21"/>
        </w:rPr>
        <w:t>日</w:t>
      </w:r>
    </w:p>
    <w:p w14:paraId="6162F0ED" w14:textId="77777777" w:rsidR="006119A8" w:rsidRDefault="006119A8"/>
    <w:sectPr w:rsidR="006119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6B"/>
    <w:rsid w:val="004B436B"/>
    <w:rsid w:val="00611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4870"/>
  <w15:chartTrackingRefBased/>
  <w15:docId w15:val="{936F2FB8-DE29-4324-A6DC-C21467F53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779981">
      <w:bodyDiv w:val="1"/>
      <w:marLeft w:val="0"/>
      <w:marRight w:val="0"/>
      <w:marTop w:val="0"/>
      <w:marBottom w:val="0"/>
      <w:divBdr>
        <w:top w:val="none" w:sz="0" w:space="0" w:color="auto"/>
        <w:left w:val="none" w:sz="0" w:space="0" w:color="auto"/>
        <w:bottom w:val="none" w:sz="0" w:space="0" w:color="auto"/>
        <w:right w:val="none" w:sz="0" w:space="0" w:color="auto"/>
      </w:divBdr>
      <w:divsChild>
        <w:div w:id="1852407364">
          <w:marLeft w:val="0"/>
          <w:marRight w:val="0"/>
          <w:marTop w:val="0"/>
          <w:marBottom w:val="0"/>
          <w:divBdr>
            <w:top w:val="none" w:sz="0" w:space="23" w:color="auto"/>
            <w:left w:val="none" w:sz="0" w:space="31" w:color="auto"/>
            <w:bottom w:val="single" w:sz="12" w:space="11" w:color="CCCCCC"/>
            <w:right w:val="none" w:sz="0" w:space="31" w:color="auto"/>
          </w:divBdr>
        </w:div>
        <w:div w:id="71678434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2021-09-28T04:32:00Z</dcterms:created>
  <dcterms:modified xsi:type="dcterms:W3CDTF">2021-09-28T04:32:00Z</dcterms:modified>
</cp:coreProperties>
</file>